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876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30"/>
          <w:szCs w:val="30"/>
          <w:lang w:val="en-US" w:eastAsia="zh-CN"/>
        </w:rPr>
      </w:pPr>
      <w:r>
        <w:rPr>
          <w:rFonts w:hint="eastAsia" w:ascii="宋体" w:hAnsi="宋体" w:eastAsia="宋体" w:cs="宋体"/>
          <w:bCs/>
          <w:color w:val="000000"/>
          <w:kern w:val="0"/>
          <w:sz w:val="30"/>
          <w:szCs w:val="30"/>
        </w:rPr>
        <w:t>附件</w:t>
      </w:r>
      <w:r>
        <w:rPr>
          <w:rFonts w:hint="eastAsia" w:ascii="宋体" w:hAnsi="宋体" w:eastAsia="宋体" w:cs="宋体"/>
          <w:bCs/>
          <w:color w:val="000000"/>
          <w:kern w:val="0"/>
          <w:sz w:val="30"/>
          <w:szCs w:val="30"/>
          <w:lang w:val="en-US" w:eastAsia="zh-CN"/>
        </w:rPr>
        <w:t>4</w:t>
      </w:r>
    </w:p>
    <w:p w14:paraId="09E04B02">
      <w:pPr>
        <w:keepNext w:val="0"/>
        <w:keepLines w:val="0"/>
        <w:widowControl/>
        <w:suppressLineNumbers w:val="0"/>
        <w:autoSpaceDE/>
        <w:autoSpaceDN/>
        <w:adjustRightInd/>
        <w:ind w:firstLineChars="100"/>
        <w:jc w:val="center"/>
        <w:textAlignment w:val="top"/>
        <w:rPr>
          <w:rStyle w:val="4"/>
          <w:rFonts w:hint="eastAsia"/>
          <w:kern w:val="2"/>
          <w:sz w:val="40"/>
          <w:szCs w:val="40"/>
          <w:lang w:val="en-US" w:eastAsia="zh-CN" w:bidi="ar"/>
        </w:rPr>
      </w:pPr>
      <w:bookmarkStart w:id="0" w:name="_GoBack"/>
      <w:r>
        <w:rPr>
          <w:rStyle w:val="4"/>
          <w:rFonts w:hint="eastAsia"/>
          <w:kern w:val="2"/>
          <w:sz w:val="40"/>
          <w:szCs w:val="40"/>
          <w:lang w:val="en-US" w:eastAsia="zh-CN" w:bidi="ar"/>
        </w:rPr>
        <w:t>中药饮片、中药配方颗粒配送企业遴选评分表</w:t>
      </w:r>
    </w:p>
    <w:bookmarkEnd w:id="0"/>
    <w:tbl>
      <w:tblPr>
        <w:tblStyle w:val="2"/>
        <w:tblW w:w="6026" w:type="pct"/>
        <w:jc w:val="center"/>
        <w:tblLayout w:type="fixed"/>
        <w:tblCellMar>
          <w:top w:w="0" w:type="dxa"/>
          <w:left w:w="108" w:type="dxa"/>
          <w:bottom w:w="0" w:type="dxa"/>
          <w:right w:w="108" w:type="dxa"/>
        </w:tblCellMar>
      </w:tblPr>
      <w:tblGrid>
        <w:gridCol w:w="1171"/>
        <w:gridCol w:w="1115"/>
        <w:gridCol w:w="2731"/>
        <w:gridCol w:w="596"/>
        <w:gridCol w:w="492"/>
        <w:gridCol w:w="900"/>
        <w:gridCol w:w="3266"/>
      </w:tblGrid>
      <w:tr w14:paraId="310E0B46">
        <w:tblPrEx>
          <w:tblCellMar>
            <w:top w:w="0" w:type="dxa"/>
            <w:left w:w="108" w:type="dxa"/>
            <w:bottom w:w="0" w:type="dxa"/>
            <w:right w:w="108" w:type="dxa"/>
          </w:tblCellMar>
        </w:tblPrEx>
        <w:trPr>
          <w:trHeight w:val="1265" w:hRule="atLeas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216F3036">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一级指标</w:t>
            </w:r>
          </w:p>
        </w:tc>
        <w:tc>
          <w:tcPr>
            <w:tcW w:w="542" w:type="pct"/>
            <w:tcBorders>
              <w:top w:val="single" w:color="auto" w:sz="4" w:space="0"/>
              <w:left w:val="nil"/>
              <w:bottom w:val="single" w:color="auto" w:sz="4" w:space="0"/>
              <w:right w:val="single" w:color="auto" w:sz="4" w:space="0"/>
            </w:tcBorders>
            <w:shd w:val="clear" w:color="auto" w:fill="auto"/>
            <w:noWrap/>
            <w:vAlign w:val="center"/>
          </w:tcPr>
          <w:p w14:paraId="419939F8">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二级指标</w:t>
            </w:r>
          </w:p>
        </w:tc>
        <w:tc>
          <w:tcPr>
            <w:tcW w:w="1329" w:type="pct"/>
            <w:tcBorders>
              <w:top w:val="single" w:color="auto" w:sz="4" w:space="0"/>
              <w:left w:val="nil"/>
              <w:bottom w:val="single" w:color="auto" w:sz="4" w:space="0"/>
              <w:right w:val="single" w:color="auto" w:sz="4" w:space="0"/>
            </w:tcBorders>
            <w:shd w:val="clear" w:color="auto" w:fill="auto"/>
            <w:noWrap/>
            <w:vAlign w:val="center"/>
          </w:tcPr>
          <w:p w14:paraId="2E51BB55">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评价细则</w:t>
            </w:r>
          </w:p>
        </w:tc>
        <w:tc>
          <w:tcPr>
            <w:tcW w:w="290" w:type="pct"/>
            <w:tcBorders>
              <w:top w:val="single" w:color="auto" w:sz="4" w:space="0"/>
              <w:left w:val="nil"/>
              <w:bottom w:val="single" w:color="auto" w:sz="4" w:space="0"/>
              <w:right w:val="single" w:color="auto" w:sz="4" w:space="0"/>
            </w:tcBorders>
            <w:shd w:val="clear" w:color="auto" w:fill="auto"/>
            <w:noWrap/>
            <w:vAlign w:val="center"/>
          </w:tcPr>
          <w:p w14:paraId="108C765C">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分值</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68800205">
            <w:pPr>
              <w:widowControl/>
              <w:jc w:val="both"/>
              <w:rPr>
                <w:rFonts w:hint="eastAsia"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企业</w:t>
            </w:r>
          </w:p>
          <w:p w14:paraId="77A57006">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lang w:eastAsia="zh-CN"/>
              </w:rPr>
              <w:t>自评</w:t>
            </w:r>
          </w:p>
        </w:tc>
        <w:tc>
          <w:tcPr>
            <w:tcW w:w="438" w:type="pct"/>
            <w:tcBorders>
              <w:top w:val="single" w:color="auto" w:sz="4" w:space="0"/>
              <w:left w:val="nil"/>
              <w:bottom w:val="single" w:color="auto" w:sz="4" w:space="0"/>
              <w:right w:val="single" w:color="auto" w:sz="4" w:space="0"/>
            </w:tcBorders>
            <w:shd w:val="clear" w:color="auto" w:fill="auto"/>
            <w:vAlign w:val="center"/>
          </w:tcPr>
          <w:p w14:paraId="40D10D8E">
            <w:pPr>
              <w:widowControl/>
              <w:jc w:val="center"/>
              <w:rPr>
                <w:rFonts w:hint="eastAsia" w:ascii="Times New Roman" w:hAnsi="Times New Roman" w:eastAsia="宋体" w:cs="Times New Roman"/>
                <w:b/>
                <w:bCs/>
                <w:kern w:val="0"/>
                <w:sz w:val="24"/>
                <w:lang w:eastAsia="zh-CN"/>
              </w:rPr>
            </w:pPr>
            <w:r>
              <w:rPr>
                <w:rFonts w:hint="eastAsia" w:ascii="Times New Roman" w:hAnsi="Times New Roman" w:eastAsia="宋体" w:cs="Times New Roman"/>
                <w:b/>
                <w:bCs/>
                <w:kern w:val="0"/>
                <w:sz w:val="24"/>
                <w:lang w:eastAsia="zh-CN"/>
              </w:rPr>
              <w:t>医院评分</w:t>
            </w:r>
          </w:p>
        </w:tc>
        <w:tc>
          <w:tcPr>
            <w:tcW w:w="1589" w:type="pct"/>
            <w:tcBorders>
              <w:top w:val="single" w:color="auto" w:sz="4" w:space="0"/>
              <w:left w:val="nil"/>
              <w:bottom w:val="single" w:color="auto" w:sz="4" w:space="0"/>
              <w:right w:val="single" w:color="auto" w:sz="4" w:space="0"/>
            </w:tcBorders>
            <w:shd w:val="clear" w:color="auto" w:fill="auto"/>
            <w:vAlign w:val="center"/>
          </w:tcPr>
          <w:p w14:paraId="20C796C2">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证明材料</w:t>
            </w:r>
          </w:p>
          <w:p w14:paraId="23EF5EA1">
            <w:pPr>
              <w:widowControl/>
              <w:jc w:val="center"/>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（复印件按评分项顺序装订，原件备查）</w:t>
            </w:r>
          </w:p>
        </w:tc>
      </w:tr>
      <w:tr w14:paraId="5154E237">
        <w:tblPrEx>
          <w:tblCellMar>
            <w:top w:w="0" w:type="dxa"/>
            <w:left w:w="108" w:type="dxa"/>
            <w:bottom w:w="0" w:type="dxa"/>
            <w:right w:w="108" w:type="dxa"/>
          </w:tblCellMar>
        </w:tblPrEx>
        <w:trPr>
          <w:trHeight w:val="450" w:hRule="atLeast"/>
          <w:jc w:val="center"/>
        </w:trPr>
        <w:tc>
          <w:tcPr>
            <w:tcW w:w="569" w:type="pct"/>
            <w:vMerge w:val="restart"/>
            <w:tcBorders>
              <w:top w:val="nil"/>
              <w:left w:val="single" w:color="auto" w:sz="4" w:space="0"/>
              <w:bottom w:val="nil"/>
              <w:right w:val="single" w:color="auto" w:sz="4" w:space="0"/>
            </w:tcBorders>
            <w:shd w:val="clear" w:color="auto" w:fill="auto"/>
            <w:vAlign w:val="center"/>
          </w:tcPr>
          <w:p w14:paraId="02D34C88">
            <w:pPr>
              <w:widowControl/>
              <w:jc w:val="center"/>
              <w:rPr>
                <w:rFonts w:ascii="Times New Roman" w:hAnsi="Times New Roman" w:eastAsia="宋体" w:cs="Times New Roman"/>
                <w:b/>
                <w:bCs/>
                <w:kern w:val="0"/>
                <w:sz w:val="22"/>
                <w:szCs w:val="22"/>
              </w:rPr>
            </w:pPr>
            <w:r>
              <w:rPr>
                <w:rFonts w:ascii="Times New Roman" w:hAnsi="Times New Roman" w:eastAsia="宋体" w:cs="Times New Roman"/>
                <w:b/>
                <w:bCs/>
                <w:kern w:val="0"/>
                <w:sz w:val="22"/>
                <w:szCs w:val="22"/>
              </w:rPr>
              <w:t>1.</w:t>
            </w:r>
            <w:r>
              <w:rPr>
                <w:rFonts w:hint="eastAsia" w:ascii="Times New Roman" w:hAnsi="Times New Roman" w:eastAsia="宋体" w:cs="Times New Roman"/>
                <w:b/>
                <w:bCs/>
                <w:kern w:val="0"/>
                <w:sz w:val="22"/>
                <w:szCs w:val="22"/>
              </w:rPr>
              <w:t>供货能力</w:t>
            </w:r>
          </w:p>
          <w:p w14:paraId="7F2BB78C">
            <w:pPr>
              <w:widowControl/>
              <w:jc w:val="center"/>
              <w:rPr>
                <w:rFonts w:ascii="Times New Roman" w:hAnsi="Times New Roman" w:eastAsia="宋体" w:cs="Times New Roman"/>
                <w:b/>
                <w:bCs/>
                <w:kern w:val="0"/>
                <w:sz w:val="22"/>
                <w:szCs w:val="22"/>
              </w:rPr>
            </w:pPr>
            <w:r>
              <w:rPr>
                <w:rFonts w:hint="eastAsia" w:ascii="Times New Roman" w:hAnsi="Times New Roman" w:eastAsia="宋体" w:cs="Times New Roman"/>
                <w:b/>
                <w:bCs/>
                <w:kern w:val="0"/>
                <w:sz w:val="22"/>
                <w:szCs w:val="22"/>
              </w:rPr>
              <w:t>（20分）</w:t>
            </w:r>
          </w:p>
        </w:tc>
        <w:tc>
          <w:tcPr>
            <w:tcW w:w="542" w:type="pct"/>
            <w:vMerge w:val="restart"/>
            <w:tcBorders>
              <w:top w:val="nil"/>
              <w:left w:val="single" w:color="auto" w:sz="4" w:space="0"/>
              <w:right w:val="single" w:color="auto" w:sz="4" w:space="0"/>
            </w:tcBorders>
            <w:shd w:val="clear" w:color="auto" w:fill="auto"/>
            <w:vAlign w:val="center"/>
          </w:tcPr>
          <w:p w14:paraId="4B2D7444">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r>
              <w:rPr>
                <w:rFonts w:ascii="Times New Roman" w:hAnsi="Times New Roman" w:eastAsia="宋体" w:cs="Times New Roman"/>
                <w:kern w:val="0"/>
                <w:sz w:val="21"/>
                <w:szCs w:val="21"/>
              </w:rPr>
              <w:t>品种数量（</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29D22F98">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400种</w:t>
            </w:r>
            <w:r>
              <w:rPr>
                <w:rFonts w:hint="eastAsia" w:ascii="Times New Roman" w:hAnsi="Times New Roman" w:eastAsia="宋体" w:cs="Times New Roman"/>
                <w:kern w:val="0"/>
                <w:sz w:val="21"/>
                <w:szCs w:val="21"/>
              </w:rPr>
              <w:t>以下</w:t>
            </w:r>
            <w:r>
              <w:rPr>
                <w:rFonts w:ascii="Times New Roman" w:hAnsi="Times New Roman" w:eastAsia="宋体" w:cs="Times New Roman"/>
                <w:kern w:val="0"/>
                <w:sz w:val="21"/>
                <w:szCs w:val="21"/>
              </w:rPr>
              <w:t>（含）</w:t>
            </w:r>
          </w:p>
        </w:tc>
        <w:tc>
          <w:tcPr>
            <w:tcW w:w="290" w:type="pct"/>
            <w:tcBorders>
              <w:top w:val="nil"/>
              <w:left w:val="nil"/>
              <w:bottom w:val="single" w:color="auto" w:sz="4" w:space="0"/>
              <w:right w:val="single" w:color="auto" w:sz="4" w:space="0"/>
            </w:tcBorders>
            <w:shd w:val="clear" w:color="auto" w:fill="auto"/>
            <w:vAlign w:val="center"/>
          </w:tcPr>
          <w:p w14:paraId="7F789A5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restart"/>
            <w:tcBorders>
              <w:top w:val="nil"/>
              <w:left w:val="single" w:color="auto" w:sz="4" w:space="0"/>
              <w:bottom w:val="single" w:color="000000" w:sz="4" w:space="0"/>
              <w:right w:val="single" w:color="auto" w:sz="4" w:space="0"/>
            </w:tcBorders>
            <w:shd w:val="clear" w:color="auto" w:fill="auto"/>
            <w:vAlign w:val="center"/>
          </w:tcPr>
          <w:p w14:paraId="50C6817B">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vMerge w:val="restart"/>
            <w:tcBorders>
              <w:top w:val="single" w:color="auto" w:sz="4" w:space="0"/>
              <w:left w:val="single" w:color="auto" w:sz="4" w:space="0"/>
              <w:right w:val="single" w:color="auto" w:sz="4" w:space="0"/>
            </w:tcBorders>
            <w:shd w:val="clear" w:color="auto" w:fill="auto"/>
            <w:vAlign w:val="center"/>
          </w:tcPr>
          <w:p w14:paraId="18361E2D">
            <w:pPr>
              <w:widowControl/>
              <w:jc w:val="center"/>
              <w:rPr>
                <w:rFonts w:hint="eastAsia" w:ascii="Times New Roman" w:hAnsi="Times New Roman" w:eastAsia="宋体" w:cs="Times New Roman"/>
                <w:kern w:val="0"/>
                <w:sz w:val="21"/>
                <w:szCs w:val="21"/>
              </w:rPr>
            </w:pPr>
          </w:p>
        </w:tc>
        <w:tc>
          <w:tcPr>
            <w:tcW w:w="1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621F3A">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提供供货目录（同个中药饮片品种不同规格包装</w:t>
            </w:r>
            <w:r>
              <w:rPr>
                <w:rFonts w:hint="eastAsia" w:ascii="Times New Roman" w:hAnsi="Times New Roman" w:eastAsia="宋体" w:cs="Times New Roman"/>
                <w:kern w:val="0"/>
                <w:sz w:val="21"/>
                <w:szCs w:val="21"/>
                <w:lang w:eastAsia="zh-CN"/>
              </w:rPr>
              <w:t>、不同厂家</w:t>
            </w:r>
            <w:r>
              <w:rPr>
                <w:rFonts w:hint="eastAsia" w:ascii="Times New Roman" w:hAnsi="Times New Roman" w:eastAsia="宋体" w:cs="Times New Roman"/>
                <w:kern w:val="0"/>
                <w:sz w:val="21"/>
                <w:szCs w:val="21"/>
              </w:rPr>
              <w:t>，按</w:t>
            </w:r>
            <w:r>
              <w:rPr>
                <w:rFonts w:hint="eastAsia" w:ascii="Times New Roman" w:hAnsi="Times New Roman" w:eastAsia="宋体" w:cs="Times New Roman"/>
                <w:kern w:val="0"/>
                <w:sz w:val="21"/>
                <w:szCs w:val="21"/>
                <w:lang w:eastAsia="zh-CN"/>
              </w:rPr>
              <w:t>不同</w:t>
            </w:r>
            <w:r>
              <w:rPr>
                <w:rFonts w:hint="eastAsia" w:ascii="Times New Roman" w:hAnsi="Times New Roman" w:eastAsia="宋体" w:cs="Times New Roman"/>
                <w:kern w:val="0"/>
                <w:sz w:val="21"/>
                <w:szCs w:val="21"/>
              </w:rPr>
              <w:t>品种计），盖企业公章。</w:t>
            </w:r>
          </w:p>
        </w:tc>
      </w:tr>
      <w:tr w14:paraId="6C8806AD">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40773245">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vAlign w:val="center"/>
          </w:tcPr>
          <w:p w14:paraId="37D05630">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4E87301A">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400种-600种（含）</w:t>
            </w:r>
          </w:p>
        </w:tc>
        <w:tc>
          <w:tcPr>
            <w:tcW w:w="290" w:type="pct"/>
            <w:tcBorders>
              <w:top w:val="nil"/>
              <w:left w:val="nil"/>
              <w:bottom w:val="single" w:color="auto" w:sz="4" w:space="0"/>
              <w:right w:val="single" w:color="auto" w:sz="4" w:space="0"/>
            </w:tcBorders>
            <w:shd w:val="clear" w:color="auto" w:fill="auto"/>
            <w:vAlign w:val="center"/>
          </w:tcPr>
          <w:p w14:paraId="334D25E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39" w:type="pct"/>
            <w:vMerge w:val="continue"/>
            <w:tcBorders>
              <w:top w:val="nil"/>
              <w:left w:val="single" w:color="auto" w:sz="4" w:space="0"/>
              <w:bottom w:val="single" w:color="000000" w:sz="4" w:space="0"/>
              <w:right w:val="single" w:color="auto" w:sz="4" w:space="0"/>
            </w:tcBorders>
            <w:vAlign w:val="center"/>
          </w:tcPr>
          <w:p w14:paraId="31B4855C">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16E3627F">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auto" w:sz="4" w:space="0"/>
              <w:right w:val="single" w:color="auto" w:sz="4" w:space="0"/>
            </w:tcBorders>
            <w:vAlign w:val="center"/>
          </w:tcPr>
          <w:p w14:paraId="7738C55C">
            <w:pPr>
              <w:widowControl/>
              <w:jc w:val="left"/>
              <w:rPr>
                <w:rFonts w:ascii="Times New Roman" w:hAnsi="Times New Roman" w:eastAsia="宋体" w:cs="Times New Roman"/>
                <w:kern w:val="0"/>
                <w:sz w:val="21"/>
                <w:szCs w:val="21"/>
              </w:rPr>
            </w:pPr>
          </w:p>
        </w:tc>
      </w:tr>
      <w:tr w14:paraId="7B34FD6C">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39751F3F">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vAlign w:val="center"/>
          </w:tcPr>
          <w:p w14:paraId="5D3C8C3A">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76DC6CD3">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600种-800种（含）</w:t>
            </w:r>
          </w:p>
        </w:tc>
        <w:tc>
          <w:tcPr>
            <w:tcW w:w="290" w:type="pct"/>
            <w:tcBorders>
              <w:top w:val="nil"/>
              <w:left w:val="nil"/>
              <w:bottom w:val="single" w:color="auto" w:sz="4" w:space="0"/>
              <w:right w:val="single" w:color="auto" w:sz="4" w:space="0"/>
            </w:tcBorders>
            <w:shd w:val="clear" w:color="auto" w:fill="auto"/>
            <w:vAlign w:val="center"/>
          </w:tcPr>
          <w:p w14:paraId="0147E01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top w:val="nil"/>
              <w:left w:val="single" w:color="auto" w:sz="4" w:space="0"/>
              <w:bottom w:val="single" w:color="000000" w:sz="4" w:space="0"/>
              <w:right w:val="single" w:color="auto" w:sz="4" w:space="0"/>
            </w:tcBorders>
            <w:vAlign w:val="center"/>
          </w:tcPr>
          <w:p w14:paraId="3D6D0C41">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7EEFF989">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auto" w:sz="4" w:space="0"/>
              <w:right w:val="single" w:color="auto" w:sz="4" w:space="0"/>
            </w:tcBorders>
            <w:vAlign w:val="center"/>
          </w:tcPr>
          <w:p w14:paraId="0A3D6188">
            <w:pPr>
              <w:widowControl/>
              <w:jc w:val="left"/>
              <w:rPr>
                <w:rFonts w:ascii="Times New Roman" w:hAnsi="Times New Roman" w:eastAsia="宋体" w:cs="Times New Roman"/>
                <w:kern w:val="0"/>
                <w:sz w:val="21"/>
                <w:szCs w:val="21"/>
              </w:rPr>
            </w:pPr>
          </w:p>
        </w:tc>
      </w:tr>
      <w:tr w14:paraId="178CAEB6">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3AEB18BD">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vAlign w:val="center"/>
          </w:tcPr>
          <w:p w14:paraId="6820D1EA">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4E21F43E">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800种-1000种（含）</w:t>
            </w:r>
          </w:p>
        </w:tc>
        <w:tc>
          <w:tcPr>
            <w:tcW w:w="290" w:type="pct"/>
            <w:tcBorders>
              <w:top w:val="nil"/>
              <w:left w:val="nil"/>
              <w:bottom w:val="single" w:color="auto" w:sz="4" w:space="0"/>
              <w:right w:val="single" w:color="auto" w:sz="4" w:space="0"/>
            </w:tcBorders>
            <w:shd w:val="clear" w:color="auto" w:fill="auto"/>
            <w:vAlign w:val="center"/>
          </w:tcPr>
          <w:p w14:paraId="07A3E07E">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39" w:type="pct"/>
            <w:vMerge w:val="continue"/>
            <w:tcBorders>
              <w:top w:val="nil"/>
              <w:left w:val="single" w:color="auto" w:sz="4" w:space="0"/>
              <w:bottom w:val="single" w:color="000000" w:sz="4" w:space="0"/>
              <w:right w:val="single" w:color="auto" w:sz="4" w:space="0"/>
            </w:tcBorders>
            <w:vAlign w:val="center"/>
          </w:tcPr>
          <w:p w14:paraId="34E7FFD1">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6063E41D">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auto" w:sz="4" w:space="0"/>
              <w:right w:val="single" w:color="auto" w:sz="4" w:space="0"/>
            </w:tcBorders>
            <w:vAlign w:val="center"/>
          </w:tcPr>
          <w:p w14:paraId="011F4F80">
            <w:pPr>
              <w:widowControl/>
              <w:jc w:val="left"/>
              <w:rPr>
                <w:rFonts w:ascii="Times New Roman" w:hAnsi="Times New Roman" w:eastAsia="宋体" w:cs="Times New Roman"/>
                <w:kern w:val="0"/>
                <w:sz w:val="21"/>
                <w:szCs w:val="21"/>
              </w:rPr>
            </w:pPr>
          </w:p>
        </w:tc>
      </w:tr>
      <w:tr w14:paraId="3A40FE53">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0B173272">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vAlign w:val="center"/>
          </w:tcPr>
          <w:p w14:paraId="13F6E6FB">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0207DB11">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1000种以上</w:t>
            </w:r>
          </w:p>
        </w:tc>
        <w:tc>
          <w:tcPr>
            <w:tcW w:w="290" w:type="pct"/>
            <w:tcBorders>
              <w:top w:val="nil"/>
              <w:left w:val="nil"/>
              <w:bottom w:val="single" w:color="auto" w:sz="4" w:space="0"/>
              <w:right w:val="single" w:color="auto" w:sz="4" w:space="0"/>
            </w:tcBorders>
            <w:shd w:val="clear" w:color="auto" w:fill="auto"/>
            <w:vAlign w:val="center"/>
          </w:tcPr>
          <w:p w14:paraId="026BD147">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vMerge w:val="continue"/>
            <w:tcBorders>
              <w:top w:val="nil"/>
              <w:left w:val="single" w:color="auto" w:sz="4" w:space="0"/>
              <w:bottom w:val="single" w:color="000000" w:sz="4" w:space="0"/>
              <w:right w:val="single" w:color="auto" w:sz="4" w:space="0"/>
            </w:tcBorders>
            <w:vAlign w:val="center"/>
          </w:tcPr>
          <w:p w14:paraId="7D4849D0">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bottom w:val="single" w:color="auto" w:sz="4" w:space="0"/>
              <w:right w:val="single" w:color="auto" w:sz="4" w:space="0"/>
            </w:tcBorders>
            <w:vAlign w:val="center"/>
          </w:tcPr>
          <w:p w14:paraId="268A2EE1">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auto" w:sz="4" w:space="0"/>
              <w:right w:val="single" w:color="auto" w:sz="4" w:space="0"/>
            </w:tcBorders>
            <w:vAlign w:val="center"/>
          </w:tcPr>
          <w:p w14:paraId="76A61D54">
            <w:pPr>
              <w:widowControl/>
              <w:jc w:val="left"/>
              <w:rPr>
                <w:rFonts w:ascii="Times New Roman" w:hAnsi="Times New Roman" w:eastAsia="宋体" w:cs="Times New Roman"/>
                <w:kern w:val="0"/>
                <w:sz w:val="21"/>
                <w:szCs w:val="21"/>
              </w:rPr>
            </w:pPr>
          </w:p>
        </w:tc>
      </w:tr>
      <w:tr w14:paraId="21A7E007">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6A6993A9">
            <w:pPr>
              <w:widowControl/>
              <w:jc w:val="left"/>
              <w:rPr>
                <w:rFonts w:ascii="Times New Roman" w:hAnsi="Times New Roman" w:eastAsia="宋体" w:cs="Times New Roman"/>
                <w:b/>
                <w:bCs/>
                <w:kern w:val="0"/>
                <w:sz w:val="22"/>
                <w:szCs w:val="22"/>
              </w:rPr>
            </w:pPr>
          </w:p>
        </w:tc>
        <w:tc>
          <w:tcPr>
            <w:tcW w:w="542" w:type="pct"/>
            <w:vMerge w:val="restart"/>
            <w:tcBorders>
              <w:top w:val="single" w:color="auto" w:sz="4" w:space="0"/>
              <w:left w:val="single" w:color="auto" w:sz="4" w:space="0"/>
              <w:right w:val="single" w:color="auto" w:sz="4" w:space="0"/>
            </w:tcBorders>
            <w:shd w:val="clear" w:color="auto" w:fill="auto"/>
            <w:vAlign w:val="center"/>
          </w:tcPr>
          <w:p w14:paraId="6F52AE9B">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1.2持续生产和保障供应能力（10分）</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520165F2">
            <w:pPr>
              <w:widowControl/>
              <w:rPr>
                <w:rFonts w:ascii="Times New Roman" w:hAnsi="Times New Roman" w:eastAsia="宋体" w:cs="Times New Roman"/>
                <w:kern w:val="0"/>
                <w:sz w:val="21"/>
                <w:szCs w:val="21"/>
              </w:rPr>
            </w:pPr>
            <w:r>
              <w:rPr>
                <w:rFonts w:hint="eastAsia" w:ascii="Helvetica" w:hAnsi="Helvetica" w:eastAsia="Helvetica" w:cs="Helvetica"/>
                <w:spacing w:val="8"/>
                <w:sz w:val="20"/>
                <w:szCs w:val="20"/>
                <w:shd w:val="clear" w:color="auto" w:fill="FFFFFF"/>
              </w:rPr>
              <w:t>拥有先进的生产线和符合</w:t>
            </w:r>
            <w:r>
              <w:rPr>
                <w:rFonts w:ascii="Helvetica" w:hAnsi="Helvetica" w:eastAsia="Helvetica" w:cs="Helvetica"/>
                <w:spacing w:val="8"/>
                <w:sz w:val="20"/>
                <w:szCs w:val="20"/>
                <w:shd w:val="clear" w:color="auto" w:fill="FFFFFF"/>
              </w:rPr>
              <w:t>GMP</w:t>
            </w:r>
            <w:r>
              <w:rPr>
                <w:rFonts w:hint="eastAsia" w:ascii="Helvetica" w:hAnsi="Helvetica" w:eastAsia="Helvetica" w:cs="Helvetica"/>
                <w:spacing w:val="8"/>
                <w:sz w:val="20"/>
                <w:szCs w:val="20"/>
                <w:shd w:val="clear" w:color="auto" w:fill="FFFFFF"/>
              </w:rPr>
              <w:t>标准的生产设施，以及成熟的生产工艺和技术</w:t>
            </w:r>
            <w:r>
              <w:rPr>
                <w:rFonts w:hint="eastAsia" w:ascii="Times New Roman" w:hAnsi="Times New Roman" w:eastAsia="宋体" w:cs="Times New Roman"/>
                <w:kern w:val="0"/>
                <w:sz w:val="21"/>
                <w:szCs w:val="21"/>
              </w:rPr>
              <w:t>，得5分。</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1AB0D5A6">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nil"/>
              <w:left w:val="single" w:color="auto" w:sz="4" w:space="0"/>
              <w:bottom w:val="single" w:color="auto" w:sz="4" w:space="0"/>
              <w:right w:val="single" w:color="auto" w:sz="4" w:space="0"/>
            </w:tcBorders>
            <w:shd w:val="clear" w:color="auto" w:fill="auto"/>
            <w:vAlign w:val="center"/>
          </w:tcPr>
          <w:p w14:paraId="0D0107E4">
            <w:pPr>
              <w:widowControl/>
              <w:jc w:val="center"/>
              <w:rPr>
                <w:rFonts w:ascii="Times New Roman" w:hAnsi="Times New Roman" w:eastAsia="宋体" w:cs="Times New Roman"/>
                <w:kern w:val="0"/>
                <w:sz w:val="21"/>
                <w:szCs w:val="21"/>
              </w:rPr>
            </w:pPr>
          </w:p>
        </w:tc>
        <w:tc>
          <w:tcPr>
            <w:tcW w:w="438" w:type="pct"/>
            <w:tcBorders>
              <w:top w:val="nil"/>
              <w:left w:val="single" w:color="auto" w:sz="4" w:space="0"/>
              <w:bottom w:val="single" w:color="auto" w:sz="4" w:space="0"/>
              <w:right w:val="single" w:color="auto" w:sz="4" w:space="0"/>
            </w:tcBorders>
            <w:shd w:val="clear" w:color="auto" w:fill="auto"/>
            <w:vAlign w:val="center"/>
          </w:tcPr>
          <w:p w14:paraId="2BD4CBBC">
            <w:pPr>
              <w:widowControl/>
              <w:jc w:val="center"/>
              <w:rPr>
                <w:rFonts w:ascii="Times New Roman" w:hAnsi="Times New Roman" w:eastAsia="宋体" w:cs="Times New Roman"/>
                <w:kern w:val="0"/>
                <w:sz w:val="21"/>
                <w:szCs w:val="21"/>
              </w:rPr>
            </w:pPr>
          </w:p>
        </w:tc>
        <w:tc>
          <w:tcPr>
            <w:tcW w:w="1589" w:type="pct"/>
            <w:tcBorders>
              <w:top w:val="nil"/>
              <w:left w:val="single" w:color="auto" w:sz="4" w:space="0"/>
              <w:bottom w:val="single" w:color="auto" w:sz="4" w:space="0"/>
              <w:right w:val="single" w:color="auto" w:sz="4" w:space="0"/>
            </w:tcBorders>
            <w:shd w:val="clear" w:color="auto" w:fill="auto"/>
            <w:vAlign w:val="center"/>
          </w:tcPr>
          <w:p w14:paraId="7B986D59">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提供生产设施、生产技术文件证明。</w:t>
            </w:r>
          </w:p>
        </w:tc>
      </w:tr>
      <w:tr w14:paraId="76C197C3">
        <w:tblPrEx>
          <w:tblCellMar>
            <w:top w:w="0" w:type="dxa"/>
            <w:left w:w="108" w:type="dxa"/>
            <w:bottom w:w="0" w:type="dxa"/>
            <w:right w:w="108" w:type="dxa"/>
          </w:tblCellMar>
        </w:tblPrEx>
        <w:trPr>
          <w:trHeight w:val="450" w:hRule="atLeast"/>
          <w:jc w:val="center"/>
        </w:trPr>
        <w:tc>
          <w:tcPr>
            <w:tcW w:w="569" w:type="pct"/>
            <w:vMerge w:val="continue"/>
            <w:tcBorders>
              <w:top w:val="nil"/>
              <w:left w:val="single" w:color="auto" w:sz="4" w:space="0"/>
              <w:bottom w:val="nil"/>
              <w:right w:val="single" w:color="auto" w:sz="4" w:space="0"/>
            </w:tcBorders>
            <w:vAlign w:val="center"/>
          </w:tcPr>
          <w:p w14:paraId="404A2736">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bottom w:val="single" w:color="auto" w:sz="4" w:space="0"/>
              <w:right w:val="single" w:color="auto" w:sz="4" w:space="0"/>
            </w:tcBorders>
            <w:shd w:val="clear" w:color="auto" w:fill="auto"/>
            <w:vAlign w:val="center"/>
          </w:tcPr>
          <w:p w14:paraId="77CF2512">
            <w:pPr>
              <w:widowControl/>
              <w:rPr>
                <w:rFonts w:ascii="Times New Roman" w:hAnsi="Times New Roman" w:eastAsia="宋体" w:cs="Times New Roman"/>
                <w:kern w:val="0"/>
                <w:sz w:val="21"/>
                <w:szCs w:val="21"/>
              </w:rPr>
            </w:pP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60CE174D">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具备稳定的中药材来源、原料储备能力：有自建或合作的种植（养殖）基地，或稳定合作的原料药供应，得5分。</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5D60D73D">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nil"/>
              <w:left w:val="single" w:color="auto" w:sz="4" w:space="0"/>
              <w:bottom w:val="single" w:color="auto" w:sz="4" w:space="0"/>
              <w:right w:val="single" w:color="auto" w:sz="4" w:space="0"/>
            </w:tcBorders>
            <w:shd w:val="clear" w:color="auto" w:fill="auto"/>
            <w:vAlign w:val="center"/>
          </w:tcPr>
          <w:p w14:paraId="672E1912">
            <w:pPr>
              <w:widowControl/>
              <w:jc w:val="center"/>
              <w:rPr>
                <w:rFonts w:ascii="Times New Roman" w:hAnsi="Times New Roman" w:eastAsia="宋体" w:cs="Times New Roman"/>
                <w:kern w:val="0"/>
                <w:sz w:val="21"/>
                <w:szCs w:val="21"/>
              </w:rPr>
            </w:pPr>
          </w:p>
        </w:tc>
        <w:tc>
          <w:tcPr>
            <w:tcW w:w="438" w:type="pct"/>
            <w:tcBorders>
              <w:top w:val="nil"/>
              <w:left w:val="single" w:color="auto" w:sz="4" w:space="0"/>
              <w:bottom w:val="single" w:color="auto" w:sz="4" w:space="0"/>
              <w:right w:val="single" w:color="auto" w:sz="4" w:space="0"/>
            </w:tcBorders>
            <w:shd w:val="clear" w:color="auto" w:fill="auto"/>
            <w:vAlign w:val="center"/>
          </w:tcPr>
          <w:p w14:paraId="51F28D5A">
            <w:pPr>
              <w:widowControl/>
              <w:jc w:val="center"/>
              <w:rPr>
                <w:rFonts w:ascii="Times New Roman" w:hAnsi="Times New Roman" w:eastAsia="宋体" w:cs="Times New Roman"/>
                <w:kern w:val="0"/>
                <w:sz w:val="21"/>
                <w:szCs w:val="21"/>
              </w:rPr>
            </w:pPr>
          </w:p>
        </w:tc>
        <w:tc>
          <w:tcPr>
            <w:tcW w:w="1589" w:type="pct"/>
            <w:tcBorders>
              <w:top w:val="nil"/>
              <w:left w:val="single" w:color="auto" w:sz="4" w:space="0"/>
              <w:bottom w:val="single" w:color="auto" w:sz="4" w:space="0"/>
              <w:right w:val="single" w:color="auto" w:sz="4" w:space="0"/>
            </w:tcBorders>
            <w:shd w:val="clear" w:color="auto" w:fill="auto"/>
            <w:vAlign w:val="center"/>
          </w:tcPr>
          <w:p w14:paraId="6E84C68A">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提供相关佐证材料。</w:t>
            </w:r>
          </w:p>
        </w:tc>
      </w:tr>
      <w:tr w14:paraId="2A84F0BD">
        <w:tblPrEx>
          <w:tblCellMar>
            <w:top w:w="0" w:type="dxa"/>
            <w:left w:w="108" w:type="dxa"/>
            <w:bottom w:w="0" w:type="dxa"/>
            <w:right w:w="108" w:type="dxa"/>
          </w:tblCellMar>
        </w:tblPrEx>
        <w:trPr>
          <w:trHeight w:val="2118" w:hRule="atLeast"/>
          <w:jc w:val="center"/>
        </w:trPr>
        <w:tc>
          <w:tcPr>
            <w:tcW w:w="569" w:type="pct"/>
            <w:vMerge w:val="continue"/>
            <w:tcBorders>
              <w:top w:val="nil"/>
              <w:left w:val="single" w:color="auto" w:sz="4" w:space="0"/>
              <w:bottom w:val="nil"/>
              <w:right w:val="single" w:color="auto" w:sz="4" w:space="0"/>
            </w:tcBorders>
            <w:vAlign w:val="center"/>
          </w:tcPr>
          <w:p w14:paraId="7BE808F3">
            <w:pPr>
              <w:widowControl/>
              <w:jc w:val="left"/>
              <w:rPr>
                <w:rFonts w:ascii="Times New Roman" w:hAnsi="Times New Roman" w:eastAsia="宋体" w:cs="Times New Roman"/>
                <w:b/>
                <w:bCs/>
                <w:kern w:val="0"/>
                <w:sz w:val="22"/>
                <w:szCs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0FAC4EE3">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1.3生产经营范围（</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605B10A3">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生产经营范围包括中药饮片（或配方颗粒）、医疗用毒性药等中药的炮制加工生产（3分）；并有在供毒性中药、野生动物经营许可资质（2分）。每少一项证明逐个扣分。</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209A2392">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nil"/>
              <w:left w:val="single" w:color="auto" w:sz="4" w:space="0"/>
              <w:bottom w:val="single" w:color="auto" w:sz="4" w:space="0"/>
              <w:right w:val="single" w:color="auto" w:sz="4" w:space="0"/>
            </w:tcBorders>
            <w:shd w:val="clear" w:color="auto" w:fill="auto"/>
            <w:vAlign w:val="center"/>
          </w:tcPr>
          <w:p w14:paraId="54535029">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nil"/>
              <w:left w:val="single" w:color="auto" w:sz="4" w:space="0"/>
              <w:bottom w:val="single" w:color="auto" w:sz="4" w:space="0"/>
              <w:right w:val="single" w:color="auto" w:sz="4" w:space="0"/>
            </w:tcBorders>
            <w:shd w:val="clear" w:color="auto" w:fill="auto"/>
            <w:vAlign w:val="center"/>
          </w:tcPr>
          <w:p w14:paraId="55250F13">
            <w:pPr>
              <w:widowControl/>
              <w:jc w:val="center"/>
              <w:rPr>
                <w:rFonts w:hint="eastAsia" w:ascii="Times New Roman" w:hAnsi="Times New Roman" w:eastAsia="宋体" w:cs="Times New Roman"/>
                <w:kern w:val="0"/>
                <w:sz w:val="21"/>
                <w:szCs w:val="21"/>
              </w:rPr>
            </w:pPr>
          </w:p>
        </w:tc>
        <w:tc>
          <w:tcPr>
            <w:tcW w:w="1589" w:type="pct"/>
            <w:tcBorders>
              <w:top w:val="nil"/>
              <w:left w:val="single" w:color="auto" w:sz="4" w:space="0"/>
              <w:bottom w:val="single" w:color="auto" w:sz="4" w:space="0"/>
              <w:right w:val="single" w:color="auto" w:sz="4" w:space="0"/>
            </w:tcBorders>
            <w:shd w:val="clear" w:color="auto" w:fill="auto"/>
            <w:vAlign w:val="center"/>
          </w:tcPr>
          <w:p w14:paraId="1B37109C">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查看《药品生产许可证》、《药品经营许可证》的生产经营范围；提供资质证明材料（如林业局行政许可等）。</w:t>
            </w:r>
          </w:p>
        </w:tc>
      </w:tr>
      <w:tr w14:paraId="6986A330">
        <w:tblPrEx>
          <w:tblCellMar>
            <w:top w:w="0" w:type="dxa"/>
            <w:left w:w="108" w:type="dxa"/>
            <w:bottom w:w="0" w:type="dxa"/>
            <w:right w:w="108" w:type="dxa"/>
          </w:tblCellMar>
        </w:tblPrEx>
        <w:trPr>
          <w:trHeight w:val="374" w:hRule="atLeast"/>
          <w:jc w:val="center"/>
        </w:trPr>
        <w:tc>
          <w:tcPr>
            <w:tcW w:w="569" w:type="pct"/>
            <w:vMerge w:val="restart"/>
            <w:tcBorders>
              <w:top w:val="single" w:color="auto" w:sz="4" w:space="0"/>
              <w:left w:val="single" w:color="auto" w:sz="4" w:space="0"/>
              <w:bottom w:val="nil"/>
              <w:right w:val="single" w:color="auto" w:sz="4" w:space="0"/>
            </w:tcBorders>
            <w:shd w:val="clear" w:color="auto" w:fill="auto"/>
            <w:vAlign w:val="center"/>
          </w:tcPr>
          <w:p w14:paraId="37976E90">
            <w:pPr>
              <w:widowControl/>
              <w:jc w:val="left"/>
              <w:rPr>
                <w:rFonts w:ascii="Times New Roman" w:hAnsi="Times New Roman" w:eastAsia="宋体" w:cs="Times New Roman"/>
                <w:b/>
                <w:bCs/>
                <w:kern w:val="0"/>
                <w:sz w:val="22"/>
                <w:szCs w:val="22"/>
              </w:rPr>
            </w:pPr>
            <w:r>
              <w:rPr>
                <w:rFonts w:ascii="Times New Roman" w:hAnsi="Times New Roman" w:eastAsia="宋体" w:cs="Times New Roman"/>
                <w:b/>
                <w:bCs/>
                <w:kern w:val="0"/>
                <w:sz w:val="22"/>
                <w:szCs w:val="22"/>
              </w:rPr>
              <w:t>2.</w:t>
            </w:r>
            <w:r>
              <w:rPr>
                <w:rFonts w:hint="eastAsia" w:ascii="Times New Roman" w:hAnsi="Times New Roman" w:eastAsia="宋体" w:cs="Times New Roman"/>
                <w:b/>
                <w:bCs/>
                <w:kern w:val="0"/>
                <w:sz w:val="22"/>
                <w:szCs w:val="22"/>
              </w:rPr>
              <w:t>配送服务能力（3</w:t>
            </w:r>
            <w:r>
              <w:rPr>
                <w:rFonts w:ascii="Times New Roman" w:hAnsi="Times New Roman" w:eastAsia="宋体" w:cs="Times New Roman"/>
                <w:b/>
                <w:bCs/>
                <w:kern w:val="0"/>
                <w:sz w:val="22"/>
                <w:szCs w:val="22"/>
              </w:rPr>
              <w:t>5</w:t>
            </w:r>
            <w:r>
              <w:rPr>
                <w:rFonts w:hint="eastAsia" w:ascii="Times New Roman" w:hAnsi="Times New Roman" w:eastAsia="宋体" w:cs="Times New Roman"/>
                <w:b/>
                <w:bCs/>
                <w:kern w:val="0"/>
                <w:sz w:val="22"/>
                <w:szCs w:val="22"/>
              </w:rPr>
              <w:t>分）</w:t>
            </w:r>
          </w:p>
        </w:tc>
        <w:tc>
          <w:tcPr>
            <w:tcW w:w="542" w:type="pct"/>
            <w:vMerge w:val="restart"/>
            <w:tcBorders>
              <w:top w:val="nil"/>
              <w:left w:val="single" w:color="auto" w:sz="4" w:space="0"/>
              <w:bottom w:val="single" w:color="auto" w:sz="4" w:space="0"/>
              <w:right w:val="single" w:color="auto" w:sz="4" w:space="0"/>
            </w:tcBorders>
            <w:shd w:val="clear" w:color="auto" w:fill="auto"/>
            <w:vAlign w:val="center"/>
          </w:tcPr>
          <w:p w14:paraId="47795278">
            <w:pPr>
              <w:widowControl/>
              <w:jc w:val="center"/>
              <w:rPr>
                <w:rFonts w:ascii="Times New Roman" w:hAnsi="Times New Roman" w:eastAsia="宋体" w:cs="Times New Roman"/>
                <w:b/>
                <w:bCs/>
                <w:kern w:val="0"/>
                <w:sz w:val="22"/>
                <w:szCs w:val="22"/>
              </w:rPr>
            </w:pPr>
            <w:r>
              <w:rPr>
                <w:rFonts w:ascii="Times New Roman" w:hAnsi="Times New Roman" w:eastAsia="宋体" w:cs="Times New Roman"/>
                <w:kern w:val="0"/>
                <w:sz w:val="21"/>
                <w:szCs w:val="21"/>
              </w:rPr>
              <w:t>2.1</w:t>
            </w:r>
            <w:r>
              <w:rPr>
                <w:rFonts w:hint="eastAsia" w:ascii="Times New Roman" w:hAnsi="Times New Roman" w:eastAsia="宋体" w:cs="Times New Roman"/>
                <w:kern w:val="0"/>
                <w:sz w:val="21"/>
                <w:szCs w:val="21"/>
              </w:rPr>
              <w:t>仓储面积（5分）</w:t>
            </w:r>
          </w:p>
        </w:tc>
        <w:tc>
          <w:tcPr>
            <w:tcW w:w="1329" w:type="pct"/>
            <w:tcBorders>
              <w:top w:val="single" w:color="auto" w:sz="4" w:space="0"/>
              <w:left w:val="nil"/>
              <w:bottom w:val="single" w:color="auto" w:sz="4" w:space="0"/>
              <w:right w:val="single" w:color="auto" w:sz="4" w:space="0"/>
            </w:tcBorders>
            <w:shd w:val="clear" w:color="auto" w:fill="auto"/>
            <w:vAlign w:val="center"/>
          </w:tcPr>
          <w:p w14:paraId="145D9C5D">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仓库面积500㎡以下</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66445C4C">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restart"/>
            <w:tcBorders>
              <w:top w:val="nil"/>
              <w:left w:val="single" w:color="auto" w:sz="4" w:space="0"/>
              <w:right w:val="single" w:color="auto" w:sz="4" w:space="0"/>
            </w:tcBorders>
            <w:shd w:val="clear" w:color="auto" w:fill="auto"/>
            <w:vAlign w:val="center"/>
          </w:tcPr>
          <w:p w14:paraId="6795B882">
            <w:pPr>
              <w:widowControl/>
              <w:jc w:val="center"/>
              <w:rPr>
                <w:rFonts w:ascii="Times New Roman" w:hAnsi="Times New Roman" w:eastAsia="宋体" w:cs="Times New Roman"/>
                <w:kern w:val="0"/>
                <w:sz w:val="21"/>
                <w:szCs w:val="21"/>
              </w:rPr>
            </w:pPr>
          </w:p>
        </w:tc>
        <w:tc>
          <w:tcPr>
            <w:tcW w:w="438" w:type="pct"/>
            <w:vMerge w:val="restart"/>
            <w:tcBorders>
              <w:top w:val="nil"/>
              <w:left w:val="single" w:color="auto" w:sz="4" w:space="0"/>
              <w:right w:val="single" w:color="auto" w:sz="4" w:space="0"/>
            </w:tcBorders>
            <w:shd w:val="clear" w:color="auto" w:fill="auto"/>
            <w:vAlign w:val="center"/>
          </w:tcPr>
          <w:p w14:paraId="01507719">
            <w:pPr>
              <w:widowControl/>
              <w:jc w:val="center"/>
              <w:rPr>
                <w:rFonts w:ascii="Times New Roman" w:hAnsi="Times New Roman" w:eastAsia="宋体" w:cs="Times New Roman"/>
                <w:kern w:val="0"/>
                <w:sz w:val="21"/>
                <w:szCs w:val="21"/>
              </w:rPr>
            </w:pPr>
          </w:p>
        </w:tc>
        <w:tc>
          <w:tcPr>
            <w:tcW w:w="1589" w:type="pct"/>
            <w:vMerge w:val="restart"/>
            <w:tcBorders>
              <w:top w:val="nil"/>
              <w:left w:val="single" w:color="auto" w:sz="4" w:space="0"/>
              <w:right w:val="single" w:color="auto" w:sz="4" w:space="0"/>
            </w:tcBorders>
            <w:shd w:val="clear" w:color="auto" w:fill="auto"/>
            <w:vAlign w:val="center"/>
          </w:tcPr>
          <w:p w14:paraId="75D43874">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证明材料包括但不限于市场监督部门公布的相关数据或产权证或有测绘资质的第三方机构出具的证明材料。　</w:t>
            </w:r>
          </w:p>
        </w:tc>
      </w:tr>
      <w:tr w14:paraId="42FE146F">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6D2F5BC0">
            <w:pPr>
              <w:widowControl/>
              <w:jc w:val="left"/>
              <w:rPr>
                <w:rFonts w:ascii="Times New Roman" w:hAnsi="Times New Roman" w:eastAsia="宋体" w:cs="Times New Roman"/>
                <w:b/>
                <w:bCs/>
                <w:kern w:val="0"/>
                <w:sz w:val="22"/>
                <w:szCs w:val="22"/>
              </w:rPr>
            </w:pPr>
          </w:p>
        </w:tc>
        <w:tc>
          <w:tcPr>
            <w:tcW w:w="542" w:type="pct"/>
            <w:vMerge w:val="continue"/>
            <w:tcBorders>
              <w:top w:val="nil"/>
              <w:left w:val="single" w:color="auto" w:sz="4" w:space="0"/>
              <w:bottom w:val="single" w:color="auto" w:sz="4" w:space="0"/>
              <w:right w:val="single" w:color="auto" w:sz="4" w:space="0"/>
            </w:tcBorders>
            <w:vAlign w:val="center"/>
          </w:tcPr>
          <w:p w14:paraId="4CDFC37E">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3F5BA498">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仓库面积500㎡-1000㎡（含）</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39C643A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left w:val="single" w:color="auto" w:sz="4" w:space="0"/>
              <w:right w:val="single" w:color="auto" w:sz="4" w:space="0"/>
            </w:tcBorders>
            <w:vAlign w:val="center"/>
          </w:tcPr>
          <w:p w14:paraId="061ED8E8">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77F8F45D">
            <w:pPr>
              <w:widowControl/>
              <w:jc w:val="left"/>
              <w:rPr>
                <w:rFonts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vAlign w:val="center"/>
          </w:tcPr>
          <w:p w14:paraId="20450F3B">
            <w:pPr>
              <w:widowControl/>
              <w:jc w:val="left"/>
              <w:rPr>
                <w:rFonts w:ascii="Times New Roman" w:hAnsi="Times New Roman" w:eastAsia="宋体" w:cs="Times New Roman"/>
                <w:kern w:val="0"/>
                <w:sz w:val="21"/>
                <w:szCs w:val="21"/>
              </w:rPr>
            </w:pPr>
          </w:p>
        </w:tc>
      </w:tr>
      <w:tr w14:paraId="49511730">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2862B5E6">
            <w:pPr>
              <w:widowControl/>
              <w:jc w:val="left"/>
              <w:rPr>
                <w:rFonts w:ascii="Times New Roman" w:hAnsi="Times New Roman" w:eastAsia="宋体" w:cs="Times New Roman"/>
                <w:b/>
                <w:bCs/>
                <w:kern w:val="0"/>
                <w:sz w:val="22"/>
                <w:szCs w:val="22"/>
              </w:rPr>
            </w:pPr>
          </w:p>
        </w:tc>
        <w:tc>
          <w:tcPr>
            <w:tcW w:w="542" w:type="pct"/>
            <w:vMerge w:val="continue"/>
            <w:tcBorders>
              <w:top w:val="nil"/>
              <w:left w:val="single" w:color="auto" w:sz="4" w:space="0"/>
              <w:bottom w:val="single" w:color="auto" w:sz="4" w:space="0"/>
              <w:right w:val="single" w:color="auto" w:sz="4" w:space="0"/>
            </w:tcBorders>
            <w:vAlign w:val="center"/>
          </w:tcPr>
          <w:p w14:paraId="6DE90EA5">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20E3C4D5">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仓库面积1000㎡以上</w:t>
            </w:r>
          </w:p>
        </w:tc>
        <w:tc>
          <w:tcPr>
            <w:tcW w:w="290" w:type="pct"/>
            <w:tcBorders>
              <w:top w:val="single" w:color="auto" w:sz="4" w:space="0"/>
              <w:left w:val="nil"/>
              <w:bottom w:val="single" w:color="auto" w:sz="4" w:space="0"/>
              <w:right w:val="single" w:color="auto" w:sz="4" w:space="0"/>
            </w:tcBorders>
            <w:shd w:val="clear" w:color="auto" w:fill="auto"/>
            <w:vAlign w:val="center"/>
          </w:tcPr>
          <w:p w14:paraId="5D02E0A4">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vMerge w:val="continue"/>
            <w:tcBorders>
              <w:left w:val="single" w:color="auto" w:sz="4" w:space="0"/>
              <w:bottom w:val="single" w:color="000000" w:sz="4" w:space="0"/>
              <w:right w:val="single" w:color="auto" w:sz="4" w:space="0"/>
            </w:tcBorders>
            <w:vAlign w:val="center"/>
          </w:tcPr>
          <w:p w14:paraId="5270D56F">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11EC7DB5">
            <w:pPr>
              <w:widowControl/>
              <w:jc w:val="left"/>
              <w:rPr>
                <w:rFonts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vAlign w:val="center"/>
          </w:tcPr>
          <w:p w14:paraId="2E25F41D">
            <w:pPr>
              <w:widowControl/>
              <w:jc w:val="left"/>
              <w:rPr>
                <w:rFonts w:ascii="Times New Roman" w:hAnsi="Times New Roman" w:eastAsia="宋体" w:cs="Times New Roman"/>
                <w:kern w:val="0"/>
                <w:sz w:val="21"/>
                <w:szCs w:val="21"/>
              </w:rPr>
            </w:pPr>
          </w:p>
        </w:tc>
      </w:tr>
      <w:tr w14:paraId="3C1B8EF2">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46F35C63">
            <w:pPr>
              <w:widowControl/>
              <w:jc w:val="left"/>
              <w:rPr>
                <w:rFonts w:ascii="Times New Roman" w:hAnsi="Times New Roman" w:eastAsia="宋体" w:cs="Times New Roman"/>
                <w:b/>
                <w:bCs/>
                <w:kern w:val="0"/>
                <w:sz w:val="22"/>
                <w:szCs w:val="22"/>
              </w:rPr>
            </w:pPr>
          </w:p>
        </w:tc>
        <w:tc>
          <w:tcPr>
            <w:tcW w:w="542" w:type="pct"/>
            <w:vMerge w:val="restart"/>
            <w:tcBorders>
              <w:top w:val="nil"/>
              <w:left w:val="single" w:color="auto" w:sz="4" w:space="0"/>
              <w:bottom w:val="single" w:color="000000" w:sz="4" w:space="0"/>
              <w:right w:val="single" w:color="auto" w:sz="4" w:space="0"/>
            </w:tcBorders>
            <w:shd w:val="clear" w:color="auto" w:fill="auto"/>
            <w:vAlign w:val="center"/>
          </w:tcPr>
          <w:p w14:paraId="012C148A">
            <w:pPr>
              <w:widowControl/>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r>
              <w:rPr>
                <w:rFonts w:hint="eastAsia" w:ascii="Times New Roman" w:hAnsi="Times New Roman" w:eastAsia="宋体" w:cs="Times New Roman"/>
                <w:kern w:val="0"/>
                <w:sz w:val="21"/>
                <w:szCs w:val="21"/>
              </w:rPr>
              <w:t>仓储地点（5分）</w:t>
            </w:r>
          </w:p>
        </w:tc>
        <w:tc>
          <w:tcPr>
            <w:tcW w:w="1329" w:type="pct"/>
            <w:tcBorders>
              <w:top w:val="nil"/>
              <w:left w:val="nil"/>
              <w:bottom w:val="single" w:color="auto" w:sz="4" w:space="0"/>
              <w:right w:val="single" w:color="auto" w:sz="4" w:space="0"/>
            </w:tcBorders>
            <w:shd w:val="clear" w:color="auto" w:fill="auto"/>
            <w:vAlign w:val="center"/>
          </w:tcPr>
          <w:p w14:paraId="131CAC0E">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广西区外</w:t>
            </w:r>
          </w:p>
        </w:tc>
        <w:tc>
          <w:tcPr>
            <w:tcW w:w="290" w:type="pct"/>
            <w:tcBorders>
              <w:top w:val="nil"/>
              <w:left w:val="nil"/>
              <w:bottom w:val="single" w:color="auto" w:sz="4" w:space="0"/>
              <w:right w:val="single" w:color="auto" w:sz="4" w:space="0"/>
            </w:tcBorders>
            <w:shd w:val="clear" w:color="auto" w:fill="auto"/>
            <w:vAlign w:val="center"/>
          </w:tcPr>
          <w:p w14:paraId="4E015839">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restart"/>
            <w:tcBorders>
              <w:top w:val="nil"/>
              <w:left w:val="single" w:color="auto" w:sz="4" w:space="0"/>
              <w:bottom w:val="single" w:color="000000" w:sz="4" w:space="0"/>
              <w:right w:val="single" w:color="auto" w:sz="4" w:space="0"/>
            </w:tcBorders>
            <w:shd w:val="clear" w:color="auto" w:fill="auto"/>
            <w:vAlign w:val="center"/>
          </w:tcPr>
          <w:p w14:paraId="24A25E75">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vMerge w:val="continue"/>
            <w:tcBorders>
              <w:left w:val="single" w:color="auto" w:sz="4" w:space="0"/>
              <w:right w:val="single" w:color="auto" w:sz="4" w:space="0"/>
            </w:tcBorders>
            <w:shd w:val="clear" w:color="auto" w:fill="auto"/>
            <w:vAlign w:val="center"/>
          </w:tcPr>
          <w:p w14:paraId="22EB8436">
            <w:pPr>
              <w:widowControl/>
              <w:jc w:val="center"/>
              <w:rPr>
                <w:rFonts w:hint="eastAsia"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shd w:val="clear" w:color="auto" w:fill="auto"/>
            <w:vAlign w:val="center"/>
          </w:tcPr>
          <w:p w14:paraId="33ED5097">
            <w:pPr>
              <w:widowControl/>
              <w:rPr>
                <w:rFonts w:ascii="Times New Roman" w:hAnsi="Times New Roman" w:eastAsia="宋体" w:cs="Times New Roman"/>
                <w:kern w:val="0"/>
                <w:sz w:val="21"/>
                <w:szCs w:val="21"/>
              </w:rPr>
            </w:pPr>
          </w:p>
        </w:tc>
      </w:tr>
      <w:tr w14:paraId="65EFF60E">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08479C74">
            <w:pPr>
              <w:widowControl/>
              <w:jc w:val="left"/>
              <w:rPr>
                <w:rFonts w:ascii="Times New Roman" w:hAnsi="Times New Roman" w:eastAsia="宋体" w:cs="Times New Roman"/>
                <w:b/>
                <w:bCs/>
                <w:kern w:val="0"/>
                <w:sz w:val="22"/>
                <w:szCs w:val="22"/>
              </w:rPr>
            </w:pPr>
          </w:p>
        </w:tc>
        <w:tc>
          <w:tcPr>
            <w:tcW w:w="542" w:type="pct"/>
            <w:vMerge w:val="continue"/>
            <w:tcBorders>
              <w:top w:val="nil"/>
              <w:left w:val="single" w:color="auto" w:sz="4" w:space="0"/>
              <w:bottom w:val="single" w:color="000000" w:sz="4" w:space="0"/>
              <w:right w:val="single" w:color="auto" w:sz="4" w:space="0"/>
            </w:tcBorders>
            <w:vAlign w:val="center"/>
          </w:tcPr>
          <w:p w14:paraId="3E49CD02">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304A886A">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广西区内</w:t>
            </w:r>
          </w:p>
        </w:tc>
        <w:tc>
          <w:tcPr>
            <w:tcW w:w="290" w:type="pct"/>
            <w:tcBorders>
              <w:top w:val="nil"/>
              <w:left w:val="nil"/>
              <w:bottom w:val="single" w:color="auto" w:sz="4" w:space="0"/>
              <w:right w:val="single" w:color="auto" w:sz="4" w:space="0"/>
            </w:tcBorders>
            <w:shd w:val="clear" w:color="auto" w:fill="auto"/>
            <w:vAlign w:val="center"/>
          </w:tcPr>
          <w:p w14:paraId="3660174F">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top w:val="nil"/>
              <w:left w:val="single" w:color="auto" w:sz="4" w:space="0"/>
              <w:bottom w:val="single" w:color="000000" w:sz="4" w:space="0"/>
              <w:right w:val="single" w:color="auto" w:sz="4" w:space="0"/>
            </w:tcBorders>
            <w:vAlign w:val="center"/>
          </w:tcPr>
          <w:p w14:paraId="1F6B1282">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709D9717">
            <w:pPr>
              <w:widowControl/>
              <w:jc w:val="left"/>
              <w:rPr>
                <w:rFonts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vAlign w:val="center"/>
          </w:tcPr>
          <w:p w14:paraId="16798581">
            <w:pPr>
              <w:widowControl/>
              <w:jc w:val="left"/>
              <w:rPr>
                <w:rFonts w:ascii="Times New Roman" w:hAnsi="Times New Roman" w:eastAsia="宋体" w:cs="Times New Roman"/>
                <w:kern w:val="0"/>
                <w:sz w:val="21"/>
                <w:szCs w:val="21"/>
              </w:rPr>
            </w:pPr>
          </w:p>
        </w:tc>
      </w:tr>
      <w:tr w14:paraId="7B842F45">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41BF6827">
            <w:pPr>
              <w:widowControl/>
              <w:jc w:val="left"/>
              <w:rPr>
                <w:rFonts w:ascii="Times New Roman" w:hAnsi="Times New Roman" w:eastAsia="宋体" w:cs="Times New Roman"/>
                <w:b/>
                <w:bCs/>
                <w:kern w:val="0"/>
                <w:sz w:val="22"/>
                <w:szCs w:val="22"/>
              </w:rPr>
            </w:pPr>
          </w:p>
        </w:tc>
        <w:tc>
          <w:tcPr>
            <w:tcW w:w="542" w:type="pct"/>
            <w:vMerge w:val="continue"/>
            <w:tcBorders>
              <w:top w:val="nil"/>
              <w:left w:val="single" w:color="auto" w:sz="4" w:space="0"/>
              <w:bottom w:val="single" w:color="000000" w:sz="4" w:space="0"/>
              <w:right w:val="single" w:color="auto" w:sz="4" w:space="0"/>
            </w:tcBorders>
            <w:vAlign w:val="center"/>
          </w:tcPr>
          <w:p w14:paraId="670B7DAD">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3EE14A10">
            <w:pPr>
              <w:widowControl/>
              <w:jc w:val="left"/>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医疗机构所在地范围内</w:t>
            </w:r>
            <w:r>
              <w:rPr>
                <w:rFonts w:hint="eastAsia" w:ascii="Times New Roman" w:hAnsi="Times New Roman" w:eastAsia="宋体" w:cs="Times New Roman"/>
                <w:kern w:val="0"/>
                <w:sz w:val="21"/>
                <w:szCs w:val="21"/>
                <w:lang w:eastAsia="zh-CN"/>
              </w:rPr>
              <w:t>（本县城区域内）</w:t>
            </w:r>
          </w:p>
        </w:tc>
        <w:tc>
          <w:tcPr>
            <w:tcW w:w="290" w:type="pct"/>
            <w:tcBorders>
              <w:top w:val="nil"/>
              <w:left w:val="nil"/>
              <w:bottom w:val="single" w:color="auto" w:sz="4" w:space="0"/>
              <w:right w:val="single" w:color="auto" w:sz="4" w:space="0"/>
            </w:tcBorders>
            <w:shd w:val="clear" w:color="auto" w:fill="auto"/>
            <w:vAlign w:val="center"/>
          </w:tcPr>
          <w:p w14:paraId="63E31716">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vMerge w:val="continue"/>
            <w:tcBorders>
              <w:top w:val="nil"/>
              <w:left w:val="single" w:color="auto" w:sz="4" w:space="0"/>
              <w:bottom w:val="single" w:color="000000" w:sz="4" w:space="0"/>
              <w:right w:val="single" w:color="auto" w:sz="4" w:space="0"/>
            </w:tcBorders>
            <w:vAlign w:val="center"/>
          </w:tcPr>
          <w:p w14:paraId="19F98794">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bottom w:val="nil"/>
              <w:right w:val="single" w:color="auto" w:sz="4" w:space="0"/>
            </w:tcBorders>
            <w:vAlign w:val="center"/>
          </w:tcPr>
          <w:p w14:paraId="74020B7D">
            <w:pPr>
              <w:widowControl/>
              <w:jc w:val="left"/>
              <w:rPr>
                <w:rFonts w:ascii="Times New Roman" w:hAnsi="Times New Roman" w:eastAsia="宋体" w:cs="Times New Roman"/>
                <w:kern w:val="0"/>
                <w:sz w:val="21"/>
                <w:szCs w:val="21"/>
              </w:rPr>
            </w:pPr>
          </w:p>
        </w:tc>
        <w:tc>
          <w:tcPr>
            <w:tcW w:w="1589" w:type="pct"/>
            <w:vMerge w:val="continue"/>
            <w:tcBorders>
              <w:left w:val="single" w:color="auto" w:sz="4" w:space="0"/>
              <w:bottom w:val="nil"/>
              <w:right w:val="single" w:color="auto" w:sz="4" w:space="0"/>
            </w:tcBorders>
            <w:vAlign w:val="center"/>
          </w:tcPr>
          <w:p w14:paraId="2AC7F78B">
            <w:pPr>
              <w:widowControl/>
              <w:jc w:val="left"/>
              <w:rPr>
                <w:rFonts w:ascii="Times New Roman" w:hAnsi="Times New Roman" w:eastAsia="宋体" w:cs="Times New Roman"/>
                <w:kern w:val="0"/>
                <w:sz w:val="21"/>
                <w:szCs w:val="21"/>
              </w:rPr>
            </w:pPr>
          </w:p>
        </w:tc>
      </w:tr>
      <w:tr w14:paraId="436A1D5B">
        <w:tblPrEx>
          <w:tblCellMar>
            <w:top w:w="0" w:type="dxa"/>
            <w:left w:w="108" w:type="dxa"/>
            <w:bottom w:w="0" w:type="dxa"/>
            <w:right w:w="108" w:type="dxa"/>
          </w:tblCellMar>
        </w:tblPrEx>
        <w:trPr>
          <w:trHeight w:val="90"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19165A03">
            <w:pPr>
              <w:widowControl/>
              <w:jc w:val="left"/>
              <w:rPr>
                <w:rFonts w:ascii="Times New Roman" w:hAnsi="Times New Roman" w:eastAsia="宋体" w:cs="Times New Roman"/>
                <w:b/>
                <w:bCs/>
                <w:kern w:val="0"/>
                <w:sz w:val="22"/>
                <w:szCs w:val="22"/>
              </w:rPr>
            </w:pPr>
          </w:p>
        </w:tc>
        <w:tc>
          <w:tcPr>
            <w:tcW w:w="542" w:type="pct"/>
            <w:tcBorders>
              <w:top w:val="nil"/>
              <w:left w:val="nil"/>
              <w:bottom w:val="nil"/>
              <w:right w:val="single" w:color="auto" w:sz="4" w:space="0"/>
            </w:tcBorders>
            <w:shd w:val="clear" w:color="auto" w:fill="auto"/>
            <w:vAlign w:val="center"/>
          </w:tcPr>
          <w:p w14:paraId="0987E6F5">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r>
              <w:rPr>
                <w:rFonts w:hint="eastAsia" w:ascii="Times New Roman" w:hAnsi="Times New Roman" w:eastAsia="宋体" w:cs="Times New Roman"/>
                <w:kern w:val="0"/>
                <w:sz w:val="21"/>
                <w:szCs w:val="21"/>
              </w:rPr>
              <w:t>药品管理信息化（</w:t>
            </w:r>
            <w:r>
              <w:rPr>
                <w:rFonts w:ascii="Times New Roman" w:hAnsi="Times New Roman" w:eastAsia="宋体" w:cs="Times New Roman"/>
                <w:kern w:val="0"/>
                <w:sz w:val="21"/>
                <w:szCs w:val="21"/>
              </w:rPr>
              <w:t>10</w:t>
            </w:r>
            <w:r>
              <w:rPr>
                <w:rFonts w:hint="eastAsia"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3DB3EB84">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有原料药采购、生产及质检、库管（储存、养护、出库）、销售、运输配送等过程质量监控的信息管理系统（5分），已建立品种追溯系</w:t>
            </w:r>
            <w:r>
              <w:rPr>
                <w:rFonts w:hint="eastAsia" w:ascii="Times New Roman" w:hAnsi="Times New Roman" w:eastAsia="宋体" w:cs="Times New Roman"/>
                <w:spacing w:val="-8"/>
                <w:kern w:val="0"/>
                <w:sz w:val="21"/>
                <w:szCs w:val="21"/>
              </w:rPr>
              <w:t>统（5分）。每少一项证明逐个扣分。</w:t>
            </w:r>
          </w:p>
        </w:tc>
        <w:tc>
          <w:tcPr>
            <w:tcW w:w="290" w:type="pct"/>
            <w:tcBorders>
              <w:top w:val="nil"/>
              <w:left w:val="nil"/>
              <w:bottom w:val="single" w:color="auto" w:sz="4" w:space="0"/>
              <w:right w:val="single" w:color="auto" w:sz="4" w:space="0"/>
            </w:tcBorders>
            <w:shd w:val="clear" w:color="auto" w:fill="auto"/>
            <w:vAlign w:val="center"/>
          </w:tcPr>
          <w:p w14:paraId="3A5F0EB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39" w:type="pct"/>
            <w:tcBorders>
              <w:top w:val="nil"/>
              <w:left w:val="nil"/>
              <w:bottom w:val="single" w:color="auto" w:sz="4" w:space="0"/>
              <w:right w:val="single" w:color="auto" w:sz="4" w:space="0"/>
            </w:tcBorders>
            <w:shd w:val="clear" w:color="auto" w:fill="auto"/>
            <w:vAlign w:val="center"/>
          </w:tcPr>
          <w:p w14:paraId="6BC4E55C">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single" w:color="auto" w:sz="4" w:space="0"/>
              <w:left w:val="nil"/>
              <w:bottom w:val="single" w:color="auto" w:sz="4" w:space="0"/>
              <w:right w:val="single" w:color="auto" w:sz="4" w:space="0"/>
            </w:tcBorders>
            <w:shd w:val="clear" w:color="auto" w:fill="auto"/>
            <w:vAlign w:val="center"/>
          </w:tcPr>
          <w:p w14:paraId="667BBF92">
            <w:pPr>
              <w:widowControl/>
              <w:jc w:val="center"/>
              <w:rPr>
                <w:rFonts w:hint="eastAsia" w:ascii="Times New Roman" w:hAnsi="Times New Roman" w:eastAsia="宋体" w:cs="Times New Roman"/>
                <w:kern w:val="0"/>
                <w:sz w:val="21"/>
                <w:szCs w:val="21"/>
              </w:rPr>
            </w:pPr>
          </w:p>
        </w:tc>
        <w:tc>
          <w:tcPr>
            <w:tcW w:w="1589" w:type="pct"/>
            <w:tcBorders>
              <w:top w:val="single" w:color="auto" w:sz="4" w:space="0"/>
              <w:left w:val="nil"/>
              <w:bottom w:val="single" w:color="auto" w:sz="4" w:space="0"/>
              <w:right w:val="single" w:color="auto" w:sz="4" w:space="0"/>
            </w:tcBorders>
            <w:shd w:val="clear" w:color="auto" w:fill="auto"/>
            <w:vAlign w:val="center"/>
          </w:tcPr>
          <w:p w14:paraId="7B9FFAE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相关佐证材料（包括但不限于提供各信息系统板块界面截图），盖企业公章。</w:t>
            </w:r>
          </w:p>
        </w:tc>
      </w:tr>
      <w:tr w14:paraId="52594730">
        <w:tblPrEx>
          <w:tblCellMar>
            <w:top w:w="0" w:type="dxa"/>
            <w:left w:w="108" w:type="dxa"/>
            <w:bottom w:w="0" w:type="dxa"/>
            <w:right w:w="108" w:type="dxa"/>
          </w:tblCellMar>
        </w:tblPrEx>
        <w:trPr>
          <w:trHeight w:val="90"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58F4FC02">
            <w:pPr>
              <w:widowControl/>
              <w:jc w:val="left"/>
              <w:rPr>
                <w:rFonts w:ascii="Times New Roman" w:hAnsi="Times New Roman" w:eastAsia="宋体" w:cs="Times New Roman"/>
                <w:b/>
                <w:bCs/>
                <w:kern w:val="0"/>
                <w:sz w:val="22"/>
                <w:szCs w:val="22"/>
              </w:rPr>
            </w:pPr>
          </w:p>
        </w:tc>
        <w:tc>
          <w:tcPr>
            <w:tcW w:w="542" w:type="pct"/>
            <w:vMerge w:val="restart"/>
            <w:tcBorders>
              <w:top w:val="single" w:color="auto" w:sz="4" w:space="0"/>
              <w:left w:val="single" w:color="auto" w:sz="4" w:space="0"/>
              <w:bottom w:val="nil"/>
              <w:right w:val="single" w:color="auto" w:sz="4" w:space="0"/>
            </w:tcBorders>
            <w:shd w:val="clear" w:color="auto" w:fill="auto"/>
            <w:vAlign w:val="center"/>
          </w:tcPr>
          <w:p w14:paraId="4974AB4C">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r>
              <w:rPr>
                <w:rFonts w:hint="eastAsia" w:ascii="Times New Roman" w:hAnsi="Times New Roman" w:eastAsia="宋体" w:cs="Times New Roman"/>
                <w:kern w:val="0"/>
                <w:sz w:val="21"/>
                <w:szCs w:val="21"/>
              </w:rPr>
              <w:t>企业员工配备情况（</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1329" w:type="pct"/>
            <w:tcBorders>
              <w:top w:val="single" w:color="auto" w:sz="4" w:space="0"/>
              <w:left w:val="nil"/>
              <w:bottom w:val="single" w:color="auto" w:sz="4" w:space="0"/>
              <w:right w:val="single" w:color="auto" w:sz="4" w:space="0"/>
            </w:tcBorders>
            <w:shd w:val="clear" w:color="auto" w:fill="auto"/>
          </w:tcPr>
          <w:p w14:paraId="1BDC62E5">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企业员工30人以下（含）</w:t>
            </w:r>
          </w:p>
        </w:tc>
        <w:tc>
          <w:tcPr>
            <w:tcW w:w="290" w:type="pct"/>
            <w:tcBorders>
              <w:top w:val="single" w:color="auto" w:sz="4" w:space="0"/>
              <w:left w:val="nil"/>
              <w:bottom w:val="single" w:color="auto" w:sz="4" w:space="0"/>
              <w:right w:val="single" w:color="auto" w:sz="4" w:space="0"/>
            </w:tcBorders>
            <w:shd w:val="clear" w:color="auto" w:fill="auto"/>
            <w:vAlign w:val="center"/>
          </w:tcPr>
          <w:p w14:paraId="70CAAE53">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A8E9CC4">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vMerge w:val="restart"/>
            <w:tcBorders>
              <w:top w:val="single" w:color="auto" w:sz="4" w:space="0"/>
              <w:left w:val="single" w:color="auto" w:sz="4" w:space="0"/>
              <w:right w:val="single" w:color="auto" w:sz="4" w:space="0"/>
            </w:tcBorders>
            <w:shd w:val="clear" w:color="auto" w:fill="auto"/>
            <w:vAlign w:val="center"/>
          </w:tcPr>
          <w:p w14:paraId="55B26067">
            <w:pPr>
              <w:widowControl/>
              <w:jc w:val="center"/>
              <w:rPr>
                <w:rFonts w:hint="eastAsia" w:ascii="Times New Roman" w:hAnsi="Times New Roman" w:eastAsia="宋体" w:cs="Times New Roman"/>
                <w:kern w:val="0"/>
                <w:sz w:val="21"/>
                <w:szCs w:val="21"/>
              </w:rPr>
            </w:pPr>
          </w:p>
        </w:tc>
        <w:tc>
          <w:tcPr>
            <w:tcW w:w="158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20D35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提供单位社保（养老、医疗、失业）缴费依据。</w:t>
            </w:r>
          </w:p>
        </w:tc>
      </w:tr>
      <w:tr w14:paraId="03779043">
        <w:tblPrEx>
          <w:tblCellMar>
            <w:top w:w="0" w:type="dxa"/>
            <w:left w:w="108" w:type="dxa"/>
            <w:bottom w:w="0" w:type="dxa"/>
            <w:right w:w="108" w:type="dxa"/>
          </w:tblCellMar>
        </w:tblPrEx>
        <w:trPr>
          <w:trHeight w:val="387"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460CE350">
            <w:pPr>
              <w:widowControl/>
              <w:jc w:val="left"/>
              <w:rPr>
                <w:rFonts w:ascii="Times New Roman" w:hAnsi="Times New Roman" w:eastAsia="宋体" w:cs="Times New Roman"/>
                <w:b/>
                <w:bCs/>
                <w:kern w:val="0"/>
                <w:sz w:val="22"/>
                <w:szCs w:val="22"/>
              </w:rPr>
            </w:pPr>
          </w:p>
        </w:tc>
        <w:tc>
          <w:tcPr>
            <w:tcW w:w="542" w:type="pct"/>
            <w:vMerge w:val="continue"/>
            <w:tcBorders>
              <w:top w:val="single" w:color="auto" w:sz="4" w:space="0"/>
              <w:left w:val="single" w:color="auto" w:sz="4" w:space="0"/>
              <w:bottom w:val="nil"/>
              <w:right w:val="single" w:color="auto" w:sz="4" w:space="0"/>
            </w:tcBorders>
            <w:vAlign w:val="center"/>
          </w:tcPr>
          <w:p w14:paraId="77795CF6">
            <w:pPr>
              <w:widowControl/>
              <w:jc w:val="left"/>
              <w:rPr>
                <w:rFonts w:ascii="Times New Roman" w:hAnsi="Times New Roman" w:eastAsia="宋体" w:cs="Times New Roman"/>
                <w:kern w:val="0"/>
                <w:sz w:val="21"/>
                <w:szCs w:val="21"/>
              </w:rPr>
            </w:pPr>
          </w:p>
        </w:tc>
        <w:tc>
          <w:tcPr>
            <w:tcW w:w="1329" w:type="pct"/>
            <w:tcBorders>
              <w:top w:val="single" w:color="auto" w:sz="4" w:space="0"/>
              <w:left w:val="nil"/>
              <w:bottom w:val="single" w:color="auto" w:sz="4" w:space="0"/>
              <w:right w:val="single" w:color="auto" w:sz="4" w:space="0"/>
            </w:tcBorders>
            <w:shd w:val="clear" w:color="auto" w:fill="auto"/>
          </w:tcPr>
          <w:p w14:paraId="05F02E99">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企业员工31-50人（含）</w:t>
            </w:r>
          </w:p>
        </w:tc>
        <w:tc>
          <w:tcPr>
            <w:tcW w:w="290" w:type="pct"/>
            <w:tcBorders>
              <w:top w:val="single" w:color="auto" w:sz="4" w:space="0"/>
              <w:left w:val="nil"/>
              <w:bottom w:val="single" w:color="auto" w:sz="4" w:space="0"/>
              <w:right w:val="single" w:color="auto" w:sz="4" w:space="0"/>
            </w:tcBorders>
            <w:shd w:val="clear" w:color="auto" w:fill="auto"/>
            <w:vAlign w:val="center"/>
          </w:tcPr>
          <w:p w14:paraId="6A386657">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top w:val="nil"/>
              <w:left w:val="single" w:color="auto" w:sz="4" w:space="0"/>
              <w:bottom w:val="single" w:color="000000" w:sz="4" w:space="0"/>
              <w:right w:val="single" w:color="auto" w:sz="4" w:space="0"/>
            </w:tcBorders>
            <w:vAlign w:val="center"/>
          </w:tcPr>
          <w:p w14:paraId="10BB11BE">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vAlign w:val="center"/>
          </w:tcPr>
          <w:p w14:paraId="2CFDC40E">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000000" w:sz="4" w:space="0"/>
              <w:right w:val="single" w:color="auto" w:sz="4" w:space="0"/>
            </w:tcBorders>
            <w:vAlign w:val="center"/>
          </w:tcPr>
          <w:p w14:paraId="06D20190">
            <w:pPr>
              <w:widowControl/>
              <w:jc w:val="left"/>
              <w:rPr>
                <w:rFonts w:ascii="Times New Roman" w:hAnsi="Times New Roman" w:eastAsia="宋体" w:cs="Times New Roman"/>
                <w:kern w:val="0"/>
                <w:sz w:val="21"/>
                <w:szCs w:val="21"/>
              </w:rPr>
            </w:pPr>
          </w:p>
        </w:tc>
      </w:tr>
      <w:tr w14:paraId="0F352A3F">
        <w:tblPrEx>
          <w:tblCellMar>
            <w:top w:w="0" w:type="dxa"/>
            <w:left w:w="108" w:type="dxa"/>
            <w:bottom w:w="0" w:type="dxa"/>
            <w:right w:w="108" w:type="dxa"/>
          </w:tblCellMar>
        </w:tblPrEx>
        <w:trPr>
          <w:trHeight w:val="294"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1CE60A39">
            <w:pPr>
              <w:widowControl/>
              <w:jc w:val="left"/>
              <w:rPr>
                <w:rFonts w:ascii="Times New Roman" w:hAnsi="Times New Roman" w:eastAsia="宋体" w:cs="Times New Roman"/>
                <w:b/>
                <w:bCs/>
                <w:kern w:val="0"/>
                <w:sz w:val="22"/>
                <w:szCs w:val="22"/>
              </w:rPr>
            </w:pPr>
          </w:p>
        </w:tc>
        <w:tc>
          <w:tcPr>
            <w:tcW w:w="542" w:type="pct"/>
            <w:vMerge w:val="continue"/>
            <w:tcBorders>
              <w:top w:val="single" w:color="auto" w:sz="4" w:space="0"/>
              <w:left w:val="single" w:color="auto" w:sz="4" w:space="0"/>
              <w:bottom w:val="nil"/>
              <w:right w:val="single" w:color="auto" w:sz="4" w:space="0"/>
            </w:tcBorders>
            <w:vAlign w:val="center"/>
          </w:tcPr>
          <w:p w14:paraId="4022E2CE">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tcPr>
          <w:p w14:paraId="1563D839">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50人以上</w:t>
            </w:r>
          </w:p>
        </w:tc>
        <w:tc>
          <w:tcPr>
            <w:tcW w:w="290" w:type="pct"/>
            <w:tcBorders>
              <w:top w:val="nil"/>
              <w:left w:val="nil"/>
              <w:bottom w:val="single" w:color="auto" w:sz="4" w:space="0"/>
              <w:right w:val="single" w:color="auto" w:sz="4" w:space="0"/>
            </w:tcBorders>
            <w:shd w:val="clear" w:color="auto" w:fill="auto"/>
            <w:vAlign w:val="center"/>
          </w:tcPr>
          <w:p w14:paraId="326ABEF3">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vMerge w:val="continue"/>
            <w:tcBorders>
              <w:top w:val="nil"/>
              <w:left w:val="single" w:color="auto" w:sz="4" w:space="0"/>
              <w:bottom w:val="single" w:color="auto" w:sz="4" w:space="0"/>
              <w:right w:val="single" w:color="auto" w:sz="4" w:space="0"/>
            </w:tcBorders>
            <w:vAlign w:val="center"/>
          </w:tcPr>
          <w:p w14:paraId="442C4B9D">
            <w:pPr>
              <w:widowControl/>
              <w:jc w:val="left"/>
              <w:rPr>
                <w:rFonts w:ascii="Times New Roman" w:hAnsi="Times New Roman" w:eastAsia="宋体" w:cs="Times New Roman"/>
                <w:kern w:val="0"/>
                <w:sz w:val="21"/>
                <w:szCs w:val="21"/>
              </w:rPr>
            </w:pPr>
          </w:p>
        </w:tc>
        <w:tc>
          <w:tcPr>
            <w:tcW w:w="438" w:type="pct"/>
            <w:vMerge w:val="continue"/>
            <w:tcBorders>
              <w:left w:val="single" w:color="auto" w:sz="4" w:space="0"/>
              <w:bottom w:val="single" w:color="auto" w:sz="4" w:space="0"/>
              <w:right w:val="single" w:color="auto" w:sz="4" w:space="0"/>
            </w:tcBorders>
            <w:vAlign w:val="center"/>
          </w:tcPr>
          <w:p w14:paraId="79E11E20">
            <w:pPr>
              <w:widowControl/>
              <w:jc w:val="left"/>
              <w:rPr>
                <w:rFonts w:ascii="Times New Roman" w:hAnsi="Times New Roman" w:eastAsia="宋体" w:cs="Times New Roman"/>
                <w:kern w:val="0"/>
                <w:sz w:val="21"/>
                <w:szCs w:val="21"/>
              </w:rPr>
            </w:pPr>
          </w:p>
        </w:tc>
        <w:tc>
          <w:tcPr>
            <w:tcW w:w="1589" w:type="pct"/>
            <w:vMerge w:val="continue"/>
            <w:tcBorders>
              <w:top w:val="single" w:color="auto" w:sz="4" w:space="0"/>
              <w:left w:val="single" w:color="auto" w:sz="4" w:space="0"/>
              <w:bottom w:val="single" w:color="auto" w:sz="4" w:space="0"/>
              <w:right w:val="single" w:color="auto" w:sz="4" w:space="0"/>
            </w:tcBorders>
            <w:vAlign w:val="center"/>
          </w:tcPr>
          <w:p w14:paraId="28CE8789">
            <w:pPr>
              <w:widowControl/>
              <w:jc w:val="left"/>
              <w:rPr>
                <w:rFonts w:ascii="Times New Roman" w:hAnsi="Times New Roman" w:eastAsia="宋体" w:cs="Times New Roman"/>
                <w:kern w:val="0"/>
                <w:sz w:val="21"/>
                <w:szCs w:val="21"/>
              </w:rPr>
            </w:pPr>
          </w:p>
        </w:tc>
      </w:tr>
      <w:tr w14:paraId="2D599B6F">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05A26252">
            <w:pPr>
              <w:widowControl/>
              <w:jc w:val="left"/>
              <w:rPr>
                <w:rFonts w:ascii="Times New Roman" w:hAnsi="Times New Roman" w:eastAsia="宋体" w:cs="Times New Roman"/>
                <w:b/>
                <w:bCs/>
                <w:kern w:val="0"/>
                <w:sz w:val="22"/>
                <w:szCs w:val="22"/>
              </w:rPr>
            </w:pPr>
          </w:p>
        </w:tc>
        <w:tc>
          <w:tcPr>
            <w:tcW w:w="542" w:type="pct"/>
            <w:vMerge w:val="restart"/>
            <w:tcBorders>
              <w:top w:val="single" w:color="auto" w:sz="4" w:space="0"/>
              <w:left w:val="single" w:color="auto" w:sz="4" w:space="0"/>
              <w:right w:val="single" w:color="auto" w:sz="4" w:space="0"/>
            </w:tcBorders>
            <w:shd w:val="clear" w:color="auto" w:fill="auto"/>
            <w:vAlign w:val="center"/>
          </w:tcPr>
          <w:p w14:paraId="5901B8EF">
            <w:pPr>
              <w:widowControl/>
              <w:jc w:val="left"/>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rPr>
              <w:t>2.6</w:t>
            </w:r>
            <w:r>
              <w:rPr>
                <w:rFonts w:hint="eastAsia" w:ascii="Times New Roman" w:hAnsi="Times New Roman" w:eastAsia="宋体" w:cs="Times New Roman"/>
                <w:kern w:val="0"/>
                <w:sz w:val="21"/>
                <w:szCs w:val="21"/>
              </w:rPr>
              <w:t>配送</w:t>
            </w:r>
            <w:r>
              <w:rPr>
                <w:rStyle w:val="5"/>
                <w:rFonts w:hint="default"/>
                <w:kern w:val="2"/>
                <w:sz w:val="21"/>
                <w:szCs w:val="21"/>
                <w:lang w:val="en-US" w:eastAsia="zh-CN" w:bidi="ar"/>
              </w:rPr>
              <w:t>广西区内医疗机构情况</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5D4BDDB2">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0-1家（含）</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4284E828">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1</w:t>
            </w:r>
          </w:p>
        </w:tc>
        <w:tc>
          <w:tcPr>
            <w:tcW w:w="239" w:type="pct"/>
            <w:vMerge w:val="restart"/>
            <w:tcBorders>
              <w:top w:val="single" w:color="auto" w:sz="4" w:space="0"/>
              <w:left w:val="single" w:color="auto" w:sz="4" w:space="0"/>
              <w:right w:val="single" w:color="auto" w:sz="4" w:space="0"/>
            </w:tcBorders>
            <w:shd w:val="clear" w:color="auto" w:fill="auto"/>
            <w:vAlign w:val="center"/>
          </w:tcPr>
          <w:p w14:paraId="7FCB0EFC">
            <w:pPr>
              <w:widowControl/>
              <w:jc w:val="center"/>
              <w:rPr>
                <w:rFonts w:ascii="Times New Roman" w:hAnsi="Times New Roman" w:eastAsia="宋体" w:cs="Times New Roman"/>
                <w:kern w:val="0"/>
                <w:sz w:val="21"/>
                <w:szCs w:val="21"/>
              </w:rPr>
            </w:pPr>
          </w:p>
        </w:tc>
        <w:tc>
          <w:tcPr>
            <w:tcW w:w="438" w:type="pct"/>
            <w:vMerge w:val="restart"/>
            <w:tcBorders>
              <w:top w:val="single" w:color="auto" w:sz="4" w:space="0"/>
              <w:left w:val="single" w:color="auto" w:sz="4" w:space="0"/>
              <w:right w:val="single" w:color="auto" w:sz="4" w:space="0"/>
            </w:tcBorders>
            <w:shd w:val="clear" w:color="auto" w:fill="auto"/>
            <w:vAlign w:val="center"/>
          </w:tcPr>
          <w:p w14:paraId="1CC2AC64">
            <w:pPr>
              <w:widowControl/>
              <w:jc w:val="center"/>
              <w:rPr>
                <w:rFonts w:ascii="Times New Roman" w:hAnsi="Times New Roman" w:eastAsia="宋体" w:cs="Times New Roman"/>
                <w:kern w:val="0"/>
                <w:sz w:val="21"/>
                <w:szCs w:val="21"/>
              </w:rPr>
            </w:pPr>
          </w:p>
        </w:tc>
        <w:tc>
          <w:tcPr>
            <w:tcW w:w="1589" w:type="pct"/>
            <w:vMerge w:val="restart"/>
            <w:tcBorders>
              <w:top w:val="single" w:color="auto" w:sz="4" w:space="0"/>
              <w:left w:val="single" w:color="auto" w:sz="4" w:space="0"/>
              <w:right w:val="single" w:color="auto" w:sz="4" w:space="0"/>
            </w:tcBorders>
            <w:shd w:val="clear" w:color="auto" w:fill="auto"/>
            <w:vAlign w:val="center"/>
          </w:tcPr>
          <w:p w14:paraId="62BE4DDC">
            <w:pPr>
              <w:widowControl/>
              <w:jc w:val="left"/>
              <w:rPr>
                <w:rFonts w:ascii="Helvetica" w:hAnsi="Helvetica" w:eastAsia="Helvetica" w:cs="Helvetica"/>
                <w:color w:val="060607"/>
                <w:spacing w:val="8"/>
                <w:sz w:val="20"/>
                <w:szCs w:val="20"/>
                <w:shd w:val="clear" w:color="auto" w:fill="FFFFFF"/>
              </w:rPr>
            </w:pPr>
            <w:r>
              <w:rPr>
                <w:rFonts w:hint="eastAsia" w:ascii="Times New Roman" w:hAnsi="Times New Roman" w:eastAsia="宋体" w:cs="Times New Roman"/>
                <w:sz w:val="21"/>
                <w:szCs w:val="21"/>
              </w:rPr>
              <w:t>提供购销合同盖章页复印件。</w:t>
            </w:r>
          </w:p>
        </w:tc>
      </w:tr>
      <w:tr w14:paraId="4277EF51">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61ACAF10">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shd w:val="clear" w:color="auto" w:fill="auto"/>
            <w:vAlign w:val="center"/>
          </w:tcPr>
          <w:p w14:paraId="28220BF0">
            <w:pPr>
              <w:widowControl/>
              <w:jc w:val="left"/>
              <w:rPr>
                <w:rFonts w:ascii="Times New Roman" w:hAnsi="Times New Roman" w:eastAsia="宋体" w:cs="Times New Roman"/>
                <w:kern w:val="0"/>
                <w:sz w:val="21"/>
                <w:szCs w:val="21"/>
                <w:lang w:val="en-US" w:eastAsia="zh-CN" w:bidi="ar-SA"/>
              </w:rPr>
            </w:pP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75AEF5D9">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2家-5家（含）</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541A8762">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left w:val="single" w:color="auto" w:sz="4" w:space="0"/>
              <w:right w:val="single" w:color="auto" w:sz="4" w:space="0"/>
            </w:tcBorders>
            <w:shd w:val="clear" w:color="auto" w:fill="auto"/>
            <w:vAlign w:val="center"/>
          </w:tcPr>
          <w:p w14:paraId="18C896B1">
            <w:pPr>
              <w:widowControl/>
              <w:jc w:val="center"/>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shd w:val="clear" w:color="auto" w:fill="auto"/>
            <w:vAlign w:val="center"/>
          </w:tcPr>
          <w:p w14:paraId="5110CCF0">
            <w:pPr>
              <w:widowControl/>
              <w:jc w:val="center"/>
              <w:rPr>
                <w:rFonts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shd w:val="clear" w:color="auto" w:fill="auto"/>
            <w:vAlign w:val="center"/>
          </w:tcPr>
          <w:p w14:paraId="672C3D37">
            <w:pPr>
              <w:widowControl/>
              <w:jc w:val="left"/>
              <w:rPr>
                <w:rFonts w:ascii="Helvetica" w:hAnsi="Helvetica" w:eastAsia="Helvetica" w:cs="Helvetica"/>
                <w:color w:val="060607"/>
                <w:spacing w:val="8"/>
                <w:sz w:val="20"/>
                <w:szCs w:val="20"/>
                <w:shd w:val="clear" w:color="auto" w:fill="FFFFFF"/>
              </w:rPr>
            </w:pPr>
          </w:p>
        </w:tc>
      </w:tr>
      <w:tr w14:paraId="728EDE1C">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0E24CFE5">
            <w:pPr>
              <w:widowControl/>
              <w:jc w:val="left"/>
              <w:rPr>
                <w:rFonts w:ascii="Times New Roman" w:hAnsi="Times New Roman" w:eastAsia="宋体" w:cs="Times New Roman"/>
                <w:b/>
                <w:bCs/>
                <w:kern w:val="0"/>
                <w:sz w:val="22"/>
                <w:szCs w:val="22"/>
              </w:rPr>
            </w:pPr>
          </w:p>
        </w:tc>
        <w:tc>
          <w:tcPr>
            <w:tcW w:w="542" w:type="pct"/>
            <w:vMerge w:val="continue"/>
            <w:tcBorders>
              <w:left w:val="single" w:color="auto" w:sz="4" w:space="0"/>
              <w:right w:val="single" w:color="auto" w:sz="4" w:space="0"/>
            </w:tcBorders>
            <w:shd w:val="clear" w:color="auto" w:fill="auto"/>
            <w:vAlign w:val="center"/>
          </w:tcPr>
          <w:p w14:paraId="35483306">
            <w:pPr>
              <w:widowControl/>
              <w:jc w:val="left"/>
              <w:rPr>
                <w:rFonts w:ascii="Times New Roman" w:hAnsi="Times New Roman" w:eastAsia="宋体" w:cs="Times New Roman"/>
                <w:kern w:val="0"/>
                <w:sz w:val="21"/>
                <w:szCs w:val="21"/>
              </w:rPr>
            </w:pP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2DDA34D0">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5家以上</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2728DBE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vMerge w:val="continue"/>
            <w:tcBorders>
              <w:left w:val="single" w:color="auto" w:sz="4" w:space="0"/>
              <w:right w:val="single" w:color="auto" w:sz="4" w:space="0"/>
            </w:tcBorders>
            <w:shd w:val="clear" w:color="auto" w:fill="auto"/>
            <w:vAlign w:val="center"/>
          </w:tcPr>
          <w:p w14:paraId="65897D5E">
            <w:pPr>
              <w:widowControl/>
              <w:jc w:val="center"/>
              <w:rPr>
                <w:rFonts w:ascii="Times New Roman" w:hAnsi="Times New Roman" w:eastAsia="宋体" w:cs="Times New Roman"/>
                <w:kern w:val="0"/>
                <w:sz w:val="21"/>
                <w:szCs w:val="21"/>
              </w:rPr>
            </w:pPr>
          </w:p>
        </w:tc>
        <w:tc>
          <w:tcPr>
            <w:tcW w:w="438" w:type="pct"/>
            <w:vMerge w:val="continue"/>
            <w:tcBorders>
              <w:left w:val="single" w:color="auto" w:sz="4" w:space="0"/>
              <w:right w:val="single" w:color="auto" w:sz="4" w:space="0"/>
            </w:tcBorders>
            <w:shd w:val="clear" w:color="auto" w:fill="auto"/>
            <w:vAlign w:val="center"/>
          </w:tcPr>
          <w:p w14:paraId="6576513F">
            <w:pPr>
              <w:widowControl/>
              <w:jc w:val="center"/>
              <w:rPr>
                <w:rFonts w:ascii="Times New Roman" w:hAnsi="Times New Roman" w:eastAsia="宋体" w:cs="Times New Roman"/>
                <w:kern w:val="0"/>
                <w:sz w:val="21"/>
                <w:szCs w:val="21"/>
              </w:rPr>
            </w:pPr>
          </w:p>
        </w:tc>
        <w:tc>
          <w:tcPr>
            <w:tcW w:w="1589" w:type="pct"/>
            <w:vMerge w:val="continue"/>
            <w:tcBorders>
              <w:left w:val="single" w:color="auto" w:sz="4" w:space="0"/>
              <w:right w:val="single" w:color="auto" w:sz="4" w:space="0"/>
            </w:tcBorders>
            <w:shd w:val="clear" w:color="auto" w:fill="auto"/>
            <w:vAlign w:val="center"/>
          </w:tcPr>
          <w:p w14:paraId="46232AE2">
            <w:pPr>
              <w:widowControl/>
              <w:jc w:val="left"/>
              <w:rPr>
                <w:rFonts w:ascii="Helvetica" w:hAnsi="Helvetica" w:eastAsia="Helvetica" w:cs="Helvetica"/>
                <w:color w:val="060607"/>
                <w:spacing w:val="8"/>
                <w:sz w:val="20"/>
                <w:szCs w:val="20"/>
                <w:shd w:val="clear" w:color="auto" w:fill="FFFFFF"/>
              </w:rPr>
            </w:pPr>
          </w:p>
        </w:tc>
      </w:tr>
      <w:tr w14:paraId="1C9636A8">
        <w:tblPrEx>
          <w:tblCellMar>
            <w:top w:w="0" w:type="dxa"/>
            <w:left w:w="108" w:type="dxa"/>
            <w:bottom w:w="0" w:type="dxa"/>
            <w:right w:w="108" w:type="dxa"/>
          </w:tblCellMar>
        </w:tblPrEx>
        <w:trPr>
          <w:trHeight w:val="465" w:hRule="atLeast"/>
          <w:jc w:val="center"/>
        </w:trPr>
        <w:tc>
          <w:tcPr>
            <w:tcW w:w="569" w:type="pct"/>
            <w:vMerge w:val="continue"/>
            <w:tcBorders>
              <w:top w:val="single" w:color="auto" w:sz="4" w:space="0"/>
              <w:left w:val="single" w:color="auto" w:sz="4" w:space="0"/>
              <w:bottom w:val="nil"/>
              <w:right w:val="single" w:color="auto" w:sz="4" w:space="0"/>
            </w:tcBorders>
            <w:vAlign w:val="center"/>
          </w:tcPr>
          <w:p w14:paraId="6E6FB131">
            <w:pPr>
              <w:widowControl/>
              <w:jc w:val="left"/>
              <w:rPr>
                <w:rFonts w:ascii="Times New Roman" w:hAnsi="Times New Roman" w:eastAsia="宋体" w:cs="Times New Roman"/>
                <w:b/>
                <w:bCs/>
                <w:kern w:val="0"/>
                <w:sz w:val="22"/>
                <w:szCs w:val="22"/>
              </w:rPr>
            </w:pPr>
          </w:p>
        </w:tc>
        <w:tc>
          <w:tcPr>
            <w:tcW w:w="542" w:type="pct"/>
            <w:tcBorders>
              <w:top w:val="single" w:color="auto" w:sz="4" w:space="0"/>
              <w:left w:val="single" w:color="auto" w:sz="4" w:space="0"/>
              <w:bottom w:val="single" w:color="000000" w:sz="4" w:space="0"/>
              <w:right w:val="single" w:color="auto" w:sz="4" w:space="0"/>
            </w:tcBorders>
            <w:shd w:val="clear" w:color="auto" w:fill="auto"/>
            <w:vAlign w:val="center"/>
          </w:tcPr>
          <w:p w14:paraId="4DED8E00">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r>
              <w:rPr>
                <w:rFonts w:hint="eastAsia" w:ascii="Times New Roman" w:hAnsi="Times New Roman" w:eastAsia="宋体" w:cs="Times New Roman"/>
                <w:kern w:val="0"/>
                <w:sz w:val="21"/>
                <w:szCs w:val="21"/>
              </w:rPr>
              <w:t>退换货服务</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lang w:val="en-US" w:eastAsia="zh-CN"/>
              </w:rPr>
              <w:t>5</w:t>
            </w:r>
            <w:r>
              <w:rPr>
                <w:rFonts w:ascii="Times New Roman" w:hAnsi="Times New Roman" w:eastAsia="宋体" w:cs="Times New Roman"/>
                <w:kern w:val="0"/>
                <w:sz w:val="21"/>
                <w:szCs w:val="21"/>
              </w:rPr>
              <w:t>分）</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2D6D70BD">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承诺积极响应医院的合理要求，能对近效</w:t>
            </w:r>
            <w:r>
              <w:rPr>
                <w:rFonts w:hint="eastAsia" w:ascii="Times New Roman" w:hAnsi="Times New Roman" w:eastAsia="宋体" w:cs="Times New Roman"/>
                <w:kern w:val="0"/>
                <w:sz w:val="21"/>
                <w:szCs w:val="21"/>
                <w:lang w:eastAsia="zh-CN"/>
              </w:rPr>
              <w:t>期</w:t>
            </w:r>
            <w:r>
              <w:rPr>
                <w:rFonts w:hint="eastAsia" w:ascii="Times New Roman" w:hAnsi="Times New Roman" w:eastAsia="宋体" w:cs="Times New Roman"/>
                <w:kern w:val="0"/>
                <w:sz w:val="21"/>
                <w:szCs w:val="21"/>
              </w:rPr>
              <w:t>、滞销</w:t>
            </w:r>
            <w:r>
              <w:rPr>
                <w:rFonts w:hint="eastAsia" w:ascii="Times New Roman" w:hAnsi="Times New Roman" w:eastAsia="宋体" w:cs="Times New Roman"/>
                <w:kern w:val="0"/>
                <w:sz w:val="21"/>
                <w:szCs w:val="21"/>
                <w:lang w:eastAsia="zh-CN"/>
              </w:rPr>
              <w:t>、破损、霉变等质量问题的药品</w:t>
            </w:r>
            <w:r>
              <w:rPr>
                <w:rFonts w:hint="eastAsia" w:ascii="Times New Roman" w:hAnsi="Times New Roman" w:eastAsia="宋体" w:cs="Times New Roman"/>
                <w:kern w:val="0"/>
                <w:sz w:val="21"/>
                <w:szCs w:val="21"/>
              </w:rPr>
              <w:t>进行退换货服务</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得</w:t>
            </w:r>
            <w:r>
              <w:rPr>
                <w:rFonts w:hint="eastAsia" w:ascii="Times New Roman" w:hAnsi="Times New Roman" w:eastAsia="宋体" w:cs="Times New Roman"/>
                <w:kern w:val="0"/>
                <w:sz w:val="21"/>
                <w:szCs w:val="21"/>
                <w:lang w:val="en-US" w:eastAsia="zh-CN"/>
              </w:rPr>
              <w:t>5</w:t>
            </w:r>
            <w:r>
              <w:rPr>
                <w:rFonts w:hint="eastAsia" w:ascii="Times New Roman" w:hAnsi="Times New Roman" w:eastAsia="宋体" w:cs="Times New Roman"/>
                <w:kern w:val="0"/>
                <w:sz w:val="21"/>
                <w:szCs w:val="21"/>
              </w:rPr>
              <w:t>分</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5A8ADB39">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1C090E5F">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single" w:color="auto" w:sz="4" w:space="0"/>
              <w:left w:val="single" w:color="auto" w:sz="4" w:space="0"/>
              <w:right w:val="single" w:color="auto" w:sz="4" w:space="0"/>
            </w:tcBorders>
            <w:shd w:val="clear" w:color="auto" w:fill="auto"/>
            <w:vAlign w:val="center"/>
          </w:tcPr>
          <w:p w14:paraId="0CAEAF53">
            <w:pPr>
              <w:widowControl/>
              <w:jc w:val="center"/>
              <w:rPr>
                <w:rFonts w:hint="eastAsia" w:ascii="Times New Roman" w:hAnsi="Times New Roman" w:eastAsia="宋体" w:cs="Times New Roman"/>
                <w:kern w:val="0"/>
                <w:sz w:val="21"/>
                <w:szCs w:val="21"/>
              </w:rPr>
            </w:pPr>
          </w:p>
        </w:tc>
        <w:tc>
          <w:tcPr>
            <w:tcW w:w="1589" w:type="pct"/>
            <w:tcBorders>
              <w:top w:val="single" w:color="auto" w:sz="4" w:space="0"/>
              <w:left w:val="single" w:color="auto" w:sz="4" w:space="0"/>
              <w:bottom w:val="single" w:color="auto" w:sz="4" w:space="0"/>
              <w:right w:val="single" w:color="auto" w:sz="4" w:space="0"/>
            </w:tcBorders>
            <w:shd w:val="clear" w:color="auto" w:fill="auto"/>
            <w:vAlign w:val="center"/>
          </w:tcPr>
          <w:p w14:paraId="2279253C">
            <w:pPr>
              <w:widowControl/>
              <w:jc w:val="left"/>
              <w:rPr>
                <w:rFonts w:ascii="Times New Roman" w:hAnsi="Times New Roman" w:eastAsia="宋体" w:cs="Times New Roman"/>
                <w:kern w:val="0"/>
                <w:sz w:val="21"/>
                <w:szCs w:val="21"/>
              </w:rPr>
            </w:pPr>
            <w:r>
              <w:rPr>
                <w:rFonts w:hint="eastAsia" w:ascii="Helvetica" w:hAnsi="Helvetica" w:eastAsia="Helvetica" w:cs="Helvetica"/>
                <w:color w:val="060607"/>
                <w:spacing w:val="8"/>
                <w:sz w:val="20"/>
                <w:szCs w:val="20"/>
                <w:shd w:val="clear" w:color="auto" w:fill="FFFFFF"/>
              </w:rPr>
              <w:t>服务的医疗机构类型</w:t>
            </w:r>
            <w:r>
              <w:rPr>
                <w:rFonts w:hint="eastAsia" w:ascii="Helvetica" w:hAnsi="Helvetica" w:eastAsia="宋体" w:cs="Helvetica"/>
                <w:color w:val="060607"/>
                <w:spacing w:val="8"/>
                <w:sz w:val="20"/>
                <w:szCs w:val="20"/>
                <w:shd w:val="clear" w:color="auto" w:fill="FFFFFF"/>
              </w:rPr>
              <w:t>不限制；</w:t>
            </w:r>
            <w:r>
              <w:rPr>
                <w:rFonts w:hint="eastAsia" w:ascii="Times New Roman" w:hAnsi="Times New Roman" w:eastAsia="宋体" w:cs="Times New Roman"/>
                <w:kern w:val="0"/>
                <w:sz w:val="21"/>
                <w:szCs w:val="21"/>
              </w:rPr>
              <w:t>提供购销合同盖章页复印件。</w:t>
            </w:r>
          </w:p>
        </w:tc>
      </w:tr>
      <w:tr w14:paraId="3A48F854">
        <w:tblPrEx>
          <w:tblCellMar>
            <w:top w:w="0" w:type="dxa"/>
            <w:left w:w="108" w:type="dxa"/>
            <w:bottom w:w="0" w:type="dxa"/>
            <w:right w:w="108" w:type="dxa"/>
          </w:tblCellMar>
        </w:tblPrEx>
        <w:trPr>
          <w:trHeight w:val="1455" w:hRule="atLeast"/>
          <w:jc w:val="center"/>
        </w:trPr>
        <w:tc>
          <w:tcPr>
            <w:tcW w:w="5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05CB8A">
            <w:pPr>
              <w:widowControl/>
              <w:jc w:val="center"/>
              <w:rPr>
                <w:rFonts w:ascii="Times New Roman" w:hAnsi="Times New Roman" w:eastAsia="宋体" w:cs="Times New Roman"/>
                <w:b/>
                <w:bCs/>
                <w:kern w:val="0"/>
                <w:sz w:val="22"/>
                <w:szCs w:val="22"/>
              </w:rPr>
            </w:pPr>
            <w:r>
              <w:rPr>
                <w:rFonts w:ascii="Times New Roman" w:hAnsi="Times New Roman" w:eastAsia="宋体" w:cs="Times New Roman"/>
                <w:b/>
                <w:bCs/>
                <w:kern w:val="0"/>
                <w:sz w:val="22"/>
                <w:szCs w:val="22"/>
              </w:rPr>
              <w:t>3.</w:t>
            </w:r>
            <w:r>
              <w:rPr>
                <w:rFonts w:hint="eastAsia" w:ascii="Times New Roman" w:hAnsi="Times New Roman" w:eastAsia="宋体" w:cs="Times New Roman"/>
                <w:b/>
                <w:bCs/>
                <w:kern w:val="0"/>
                <w:sz w:val="22"/>
                <w:szCs w:val="22"/>
              </w:rPr>
              <w:t>生产经营与质量管理规范（</w:t>
            </w:r>
            <w:r>
              <w:rPr>
                <w:rFonts w:ascii="Times New Roman" w:hAnsi="Times New Roman" w:eastAsia="宋体" w:cs="Times New Roman"/>
                <w:b/>
                <w:bCs/>
                <w:kern w:val="0"/>
                <w:sz w:val="22"/>
                <w:szCs w:val="22"/>
              </w:rPr>
              <w:t>45</w:t>
            </w:r>
            <w:r>
              <w:rPr>
                <w:rFonts w:hint="eastAsia" w:ascii="Times New Roman" w:hAnsi="Times New Roman" w:eastAsia="宋体" w:cs="Times New Roman"/>
                <w:b/>
                <w:bCs/>
                <w:kern w:val="0"/>
                <w:sz w:val="22"/>
                <w:szCs w:val="22"/>
              </w:rPr>
              <w:t>分）</w:t>
            </w:r>
          </w:p>
        </w:tc>
        <w:tc>
          <w:tcPr>
            <w:tcW w:w="542" w:type="pct"/>
            <w:tcBorders>
              <w:top w:val="single" w:color="auto" w:sz="4" w:space="0"/>
              <w:left w:val="nil"/>
              <w:bottom w:val="single" w:color="auto" w:sz="4" w:space="0"/>
              <w:right w:val="single" w:color="auto" w:sz="4" w:space="0"/>
            </w:tcBorders>
            <w:shd w:val="clear" w:color="auto" w:fill="auto"/>
            <w:vAlign w:val="center"/>
          </w:tcPr>
          <w:p w14:paraId="215E4B48">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r>
              <w:rPr>
                <w:rFonts w:hint="eastAsia" w:ascii="Times New Roman" w:hAnsi="Times New Roman" w:eastAsia="宋体" w:cs="Times New Roman"/>
                <w:kern w:val="0"/>
                <w:sz w:val="21"/>
                <w:szCs w:val="21"/>
              </w:rPr>
              <w:t>药品质量安全信誉（10分）</w:t>
            </w:r>
          </w:p>
        </w:tc>
        <w:tc>
          <w:tcPr>
            <w:tcW w:w="1329" w:type="pct"/>
            <w:tcBorders>
              <w:top w:val="nil"/>
              <w:left w:val="nil"/>
              <w:bottom w:val="single" w:color="auto" w:sz="4" w:space="0"/>
              <w:right w:val="single" w:color="auto" w:sz="4" w:space="0"/>
            </w:tcBorders>
            <w:shd w:val="clear" w:color="auto" w:fill="auto"/>
            <w:vAlign w:val="center"/>
          </w:tcPr>
          <w:p w14:paraId="397AD8BB">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无药监局组织药品生产、经营企业质量抽查的不合格通报记录，无伪造批次生产记录、检验记录等，得10分。有一项记录者得0分。</w:t>
            </w:r>
          </w:p>
        </w:tc>
        <w:tc>
          <w:tcPr>
            <w:tcW w:w="290" w:type="pct"/>
            <w:tcBorders>
              <w:top w:val="nil"/>
              <w:left w:val="nil"/>
              <w:bottom w:val="single" w:color="auto" w:sz="4" w:space="0"/>
              <w:right w:val="single" w:color="auto" w:sz="4" w:space="0"/>
            </w:tcBorders>
            <w:shd w:val="clear" w:color="auto" w:fill="auto"/>
            <w:vAlign w:val="center"/>
          </w:tcPr>
          <w:p w14:paraId="38D95407">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04795F12">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single" w:color="auto" w:sz="4" w:space="0"/>
              <w:left w:val="nil"/>
              <w:bottom w:val="nil"/>
              <w:right w:val="single" w:color="auto" w:sz="4" w:space="0"/>
            </w:tcBorders>
            <w:shd w:val="clear" w:color="auto" w:fill="auto"/>
            <w:vAlign w:val="center"/>
          </w:tcPr>
          <w:p w14:paraId="10A94204">
            <w:pPr>
              <w:widowControl/>
              <w:jc w:val="center"/>
              <w:rPr>
                <w:rFonts w:hint="eastAsia" w:ascii="Times New Roman" w:hAnsi="Times New Roman" w:eastAsia="宋体" w:cs="Times New Roman"/>
                <w:kern w:val="0"/>
                <w:sz w:val="21"/>
                <w:szCs w:val="21"/>
              </w:rPr>
            </w:pPr>
          </w:p>
        </w:tc>
        <w:tc>
          <w:tcPr>
            <w:tcW w:w="1589" w:type="pct"/>
            <w:tcBorders>
              <w:top w:val="single" w:color="auto" w:sz="4" w:space="0"/>
              <w:left w:val="nil"/>
              <w:bottom w:val="nil"/>
              <w:right w:val="single" w:color="auto" w:sz="4" w:space="0"/>
            </w:tcBorders>
            <w:shd w:val="clear" w:color="auto" w:fill="auto"/>
            <w:vAlign w:val="center"/>
          </w:tcPr>
          <w:p w14:paraId="3F40F6CD">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至申请截止之日追溯3年，查询中国市场监管行政处罚文书网、药品监管部门相关通报内容，附佐证材料。</w:t>
            </w:r>
          </w:p>
        </w:tc>
      </w:tr>
      <w:tr w14:paraId="7BA1DABD">
        <w:tblPrEx>
          <w:tblCellMar>
            <w:top w:w="0" w:type="dxa"/>
            <w:left w:w="108" w:type="dxa"/>
            <w:bottom w:w="0" w:type="dxa"/>
            <w:right w:w="108" w:type="dxa"/>
          </w:tblCellMar>
        </w:tblPrEx>
        <w:trPr>
          <w:trHeight w:val="1062" w:hRule="atLeast"/>
          <w:jc w:val="center"/>
        </w:trPr>
        <w:tc>
          <w:tcPr>
            <w:tcW w:w="569" w:type="pct"/>
            <w:vMerge w:val="continue"/>
            <w:tcBorders>
              <w:left w:val="single" w:color="auto" w:sz="4" w:space="0"/>
              <w:right w:val="single" w:color="auto" w:sz="4" w:space="0"/>
            </w:tcBorders>
            <w:shd w:val="clear" w:color="auto" w:fill="auto"/>
            <w:vAlign w:val="center"/>
          </w:tcPr>
          <w:p w14:paraId="1C6B90E6">
            <w:pPr>
              <w:widowControl/>
              <w:jc w:val="center"/>
              <w:rPr>
                <w:rFonts w:ascii="Times New Roman" w:hAnsi="Times New Roman" w:eastAsia="宋体" w:cs="Times New Roman"/>
                <w:b/>
                <w:bCs/>
                <w:kern w:val="0"/>
                <w:sz w:val="22"/>
                <w:szCs w:val="22"/>
              </w:rPr>
            </w:pPr>
          </w:p>
        </w:tc>
        <w:tc>
          <w:tcPr>
            <w:tcW w:w="542" w:type="pct"/>
            <w:vMerge w:val="restart"/>
            <w:tcBorders>
              <w:top w:val="single" w:color="auto" w:sz="4" w:space="0"/>
              <w:left w:val="nil"/>
              <w:right w:val="single" w:color="auto" w:sz="4" w:space="0"/>
            </w:tcBorders>
            <w:shd w:val="clear" w:color="auto" w:fill="auto"/>
            <w:vAlign w:val="center"/>
          </w:tcPr>
          <w:p w14:paraId="65A28DFC">
            <w:pPr>
              <w:widowControl/>
              <w:jc w:val="left"/>
              <w:rPr>
                <w:rFonts w:ascii="Times New Roman" w:hAnsi="Times New Roman" w:eastAsia="宋体" w:cs="Times New Roman"/>
                <w:kern w:val="0"/>
                <w:sz w:val="21"/>
                <w:szCs w:val="21"/>
              </w:rPr>
            </w:pPr>
            <w:r>
              <w:rPr>
                <w:rFonts w:ascii="Helvetica" w:hAnsi="Helvetica" w:eastAsia="宋体" w:cs="Helvetica"/>
                <w:color w:val="060607"/>
                <w:spacing w:val="8"/>
                <w:sz w:val="20"/>
                <w:szCs w:val="20"/>
                <w:shd w:val="clear" w:color="auto" w:fill="FFFFFF"/>
              </w:rPr>
              <w:t>3.2</w:t>
            </w:r>
            <w:r>
              <w:rPr>
                <w:rFonts w:hint="eastAsia" w:ascii="Helvetica" w:hAnsi="Helvetica" w:eastAsia="Helvetica" w:cs="Helvetica"/>
                <w:color w:val="060607"/>
                <w:spacing w:val="8"/>
                <w:sz w:val="20"/>
                <w:szCs w:val="20"/>
                <w:shd w:val="clear" w:color="auto" w:fill="FFFFFF"/>
              </w:rPr>
              <w:t>质量控制</w:t>
            </w:r>
            <w:r>
              <w:rPr>
                <w:rFonts w:hint="eastAsia" w:ascii="Helvetica" w:hAnsi="Helvetica" w:eastAsia="宋体" w:cs="Helvetica"/>
                <w:color w:val="060607"/>
                <w:spacing w:val="8"/>
                <w:sz w:val="20"/>
                <w:szCs w:val="20"/>
                <w:shd w:val="clear" w:color="auto" w:fill="FFFFFF"/>
              </w:rPr>
              <w:t>硬件完善（10分）</w:t>
            </w:r>
          </w:p>
        </w:tc>
        <w:tc>
          <w:tcPr>
            <w:tcW w:w="1329" w:type="pct"/>
            <w:tcBorders>
              <w:top w:val="nil"/>
              <w:left w:val="nil"/>
              <w:bottom w:val="single" w:color="auto" w:sz="4" w:space="0"/>
              <w:right w:val="single" w:color="auto" w:sz="4" w:space="0"/>
            </w:tcBorders>
            <w:shd w:val="clear" w:color="auto" w:fill="auto"/>
            <w:vAlign w:val="center"/>
          </w:tcPr>
          <w:p w14:paraId="282DF2D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主要质量检测设备齐全：高效液相色谱仪、气相色谱仪、紫外-可见分光光度计、薄层色谱扫描仪、原子荧光/吸收光谱仪，得5分。每少一项硬件设备扣1分。</w:t>
            </w:r>
          </w:p>
        </w:tc>
        <w:tc>
          <w:tcPr>
            <w:tcW w:w="290" w:type="pct"/>
            <w:tcBorders>
              <w:top w:val="nil"/>
              <w:left w:val="nil"/>
              <w:bottom w:val="single" w:color="auto" w:sz="4" w:space="0"/>
              <w:right w:val="single" w:color="auto" w:sz="4" w:space="0"/>
            </w:tcBorders>
            <w:shd w:val="clear" w:color="auto" w:fill="auto"/>
            <w:vAlign w:val="center"/>
          </w:tcPr>
          <w:p w14:paraId="05CAB47F">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4C7B260E">
            <w:pPr>
              <w:widowControl/>
              <w:jc w:val="center"/>
              <w:rPr>
                <w:rFonts w:ascii="Times New Roman" w:hAnsi="Times New Roman" w:eastAsia="宋体" w:cs="Times New Roman"/>
                <w:kern w:val="0"/>
                <w:sz w:val="21"/>
                <w:szCs w:val="21"/>
              </w:rPr>
            </w:pPr>
          </w:p>
        </w:tc>
        <w:tc>
          <w:tcPr>
            <w:tcW w:w="438" w:type="pct"/>
            <w:tcBorders>
              <w:top w:val="single" w:color="auto" w:sz="4" w:space="0"/>
              <w:left w:val="nil"/>
              <w:bottom w:val="nil"/>
              <w:right w:val="single" w:color="auto" w:sz="4" w:space="0"/>
            </w:tcBorders>
            <w:shd w:val="clear" w:color="auto" w:fill="auto"/>
            <w:vAlign w:val="center"/>
          </w:tcPr>
          <w:p w14:paraId="2BCE52FA">
            <w:pPr>
              <w:widowControl/>
              <w:jc w:val="center"/>
              <w:rPr>
                <w:rFonts w:ascii="Times New Roman" w:hAnsi="Times New Roman" w:eastAsia="宋体" w:cs="Times New Roman"/>
                <w:kern w:val="0"/>
                <w:sz w:val="21"/>
                <w:szCs w:val="21"/>
              </w:rPr>
            </w:pPr>
          </w:p>
        </w:tc>
        <w:tc>
          <w:tcPr>
            <w:tcW w:w="1589" w:type="pct"/>
            <w:tcBorders>
              <w:top w:val="single" w:color="auto" w:sz="4" w:space="0"/>
              <w:left w:val="nil"/>
              <w:bottom w:val="nil"/>
              <w:right w:val="single" w:color="auto" w:sz="4" w:space="0"/>
            </w:tcBorders>
            <w:shd w:val="clear" w:color="auto" w:fill="auto"/>
            <w:vAlign w:val="center"/>
          </w:tcPr>
          <w:p w14:paraId="2B6FD096">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提供设备配备证明材料，盖企业公章。</w:t>
            </w:r>
          </w:p>
        </w:tc>
      </w:tr>
      <w:tr w14:paraId="44243309">
        <w:tblPrEx>
          <w:tblCellMar>
            <w:top w:w="0" w:type="dxa"/>
            <w:left w:w="108" w:type="dxa"/>
            <w:bottom w:w="0" w:type="dxa"/>
            <w:right w:w="108" w:type="dxa"/>
          </w:tblCellMar>
        </w:tblPrEx>
        <w:trPr>
          <w:trHeight w:val="747" w:hRule="atLeast"/>
          <w:jc w:val="center"/>
        </w:trPr>
        <w:tc>
          <w:tcPr>
            <w:tcW w:w="569" w:type="pct"/>
            <w:vMerge w:val="continue"/>
            <w:tcBorders>
              <w:left w:val="single" w:color="auto" w:sz="4" w:space="0"/>
              <w:right w:val="single" w:color="auto" w:sz="4" w:space="0"/>
            </w:tcBorders>
            <w:shd w:val="clear" w:color="auto" w:fill="auto"/>
            <w:vAlign w:val="center"/>
          </w:tcPr>
          <w:p w14:paraId="0B51731C">
            <w:pPr>
              <w:widowControl/>
              <w:jc w:val="center"/>
              <w:rPr>
                <w:rFonts w:ascii="Times New Roman" w:hAnsi="Times New Roman" w:eastAsia="宋体" w:cs="Times New Roman"/>
                <w:b/>
                <w:bCs/>
                <w:kern w:val="0"/>
                <w:sz w:val="22"/>
                <w:szCs w:val="22"/>
              </w:rPr>
            </w:pPr>
          </w:p>
        </w:tc>
        <w:tc>
          <w:tcPr>
            <w:tcW w:w="542" w:type="pct"/>
            <w:vMerge w:val="continue"/>
            <w:tcBorders>
              <w:left w:val="nil"/>
              <w:bottom w:val="single" w:color="auto" w:sz="4" w:space="0"/>
              <w:right w:val="single" w:color="auto" w:sz="4" w:space="0"/>
            </w:tcBorders>
            <w:shd w:val="clear" w:color="auto" w:fill="auto"/>
            <w:vAlign w:val="center"/>
          </w:tcPr>
          <w:p w14:paraId="4EB9A2C2">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42A5BF0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配备QC、QA专员数量大于10人，得5分，每少一人逐渐扣分。</w:t>
            </w:r>
          </w:p>
        </w:tc>
        <w:tc>
          <w:tcPr>
            <w:tcW w:w="290" w:type="pct"/>
            <w:tcBorders>
              <w:top w:val="nil"/>
              <w:left w:val="nil"/>
              <w:bottom w:val="single" w:color="auto" w:sz="4" w:space="0"/>
              <w:right w:val="single" w:color="auto" w:sz="4" w:space="0"/>
            </w:tcBorders>
            <w:shd w:val="clear" w:color="auto" w:fill="auto"/>
            <w:vAlign w:val="center"/>
          </w:tcPr>
          <w:p w14:paraId="6B9F0FA4">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5027F014">
            <w:pPr>
              <w:widowControl/>
              <w:jc w:val="center"/>
              <w:rPr>
                <w:rFonts w:ascii="Times New Roman" w:hAnsi="Times New Roman" w:eastAsia="宋体" w:cs="Times New Roman"/>
                <w:kern w:val="0"/>
                <w:sz w:val="21"/>
                <w:szCs w:val="21"/>
              </w:rPr>
            </w:pPr>
          </w:p>
        </w:tc>
        <w:tc>
          <w:tcPr>
            <w:tcW w:w="438" w:type="pct"/>
            <w:tcBorders>
              <w:top w:val="single" w:color="auto" w:sz="4" w:space="0"/>
              <w:left w:val="nil"/>
              <w:bottom w:val="nil"/>
              <w:right w:val="single" w:color="auto" w:sz="4" w:space="0"/>
            </w:tcBorders>
            <w:shd w:val="clear" w:color="auto" w:fill="auto"/>
            <w:vAlign w:val="center"/>
          </w:tcPr>
          <w:p w14:paraId="142E1DF4">
            <w:pPr>
              <w:widowControl/>
              <w:jc w:val="center"/>
              <w:rPr>
                <w:rFonts w:ascii="Times New Roman" w:hAnsi="Times New Roman" w:eastAsia="宋体" w:cs="Times New Roman"/>
                <w:kern w:val="0"/>
                <w:sz w:val="21"/>
                <w:szCs w:val="21"/>
              </w:rPr>
            </w:pPr>
          </w:p>
        </w:tc>
        <w:tc>
          <w:tcPr>
            <w:tcW w:w="1589" w:type="pct"/>
            <w:tcBorders>
              <w:top w:val="single" w:color="auto" w:sz="4" w:space="0"/>
              <w:left w:val="nil"/>
              <w:bottom w:val="nil"/>
              <w:right w:val="single" w:color="auto" w:sz="4" w:space="0"/>
            </w:tcBorders>
            <w:shd w:val="clear" w:color="auto" w:fill="auto"/>
            <w:vAlign w:val="center"/>
          </w:tcPr>
          <w:p w14:paraId="2731FF84">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提供质量控制技术人员资质和岗位证明等佐证材料。</w:t>
            </w:r>
          </w:p>
        </w:tc>
      </w:tr>
      <w:tr w14:paraId="0D216049">
        <w:tblPrEx>
          <w:tblCellMar>
            <w:top w:w="0" w:type="dxa"/>
            <w:left w:w="108" w:type="dxa"/>
            <w:bottom w:w="0" w:type="dxa"/>
            <w:right w:w="108" w:type="dxa"/>
          </w:tblCellMar>
        </w:tblPrEx>
        <w:trPr>
          <w:trHeight w:val="379"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3BC6B012">
            <w:pPr>
              <w:widowControl/>
              <w:jc w:val="left"/>
              <w:rPr>
                <w:rFonts w:ascii="Times New Roman" w:hAnsi="Times New Roman" w:eastAsia="宋体" w:cs="Times New Roman"/>
                <w:b/>
                <w:bCs/>
                <w:kern w:val="0"/>
                <w:sz w:val="22"/>
                <w:szCs w:val="22"/>
              </w:rPr>
            </w:pPr>
          </w:p>
        </w:tc>
        <w:tc>
          <w:tcPr>
            <w:tcW w:w="542" w:type="pct"/>
            <w:vMerge w:val="restart"/>
            <w:tcBorders>
              <w:top w:val="nil"/>
              <w:left w:val="nil"/>
              <w:right w:val="single" w:color="auto" w:sz="4" w:space="0"/>
            </w:tcBorders>
            <w:shd w:val="clear" w:color="auto" w:fill="auto"/>
            <w:vAlign w:val="center"/>
          </w:tcPr>
          <w:p w14:paraId="505D672C">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r>
              <w:rPr>
                <w:rFonts w:hint="eastAsia" w:ascii="Times New Roman" w:hAnsi="Times New Roman" w:eastAsia="宋体" w:cs="Times New Roman"/>
                <w:kern w:val="0"/>
                <w:sz w:val="21"/>
                <w:szCs w:val="21"/>
              </w:rPr>
              <w:t>管理制度齐全（</w:t>
            </w:r>
            <w:r>
              <w:rPr>
                <w:rFonts w:ascii="Times New Roman" w:hAnsi="Times New Roman" w:eastAsia="宋体" w:cs="Times New Roman"/>
                <w:kern w:val="0"/>
                <w:sz w:val="21"/>
                <w:szCs w:val="21"/>
              </w:rPr>
              <w:t>8</w:t>
            </w:r>
            <w:r>
              <w:rPr>
                <w:rFonts w:hint="eastAsia"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2A4BEB83">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具备原料药采购、中药饮片生产等的管理制度</w:t>
            </w:r>
          </w:p>
        </w:tc>
        <w:tc>
          <w:tcPr>
            <w:tcW w:w="290" w:type="pct"/>
            <w:tcBorders>
              <w:top w:val="nil"/>
              <w:left w:val="nil"/>
              <w:bottom w:val="single" w:color="auto" w:sz="4" w:space="0"/>
              <w:right w:val="single" w:color="auto" w:sz="4" w:space="0"/>
            </w:tcBorders>
            <w:shd w:val="clear" w:color="auto" w:fill="auto"/>
            <w:vAlign w:val="center"/>
          </w:tcPr>
          <w:p w14:paraId="3D96C2FA">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C2C81C">
            <w:pPr>
              <w:widowControl/>
              <w:jc w:val="center"/>
              <w:rPr>
                <w:rFonts w:ascii="Times New Roman" w:hAnsi="Times New Roman" w:eastAsia="宋体" w:cs="Times New Roman"/>
                <w:kern w:val="0"/>
                <w:sz w:val="21"/>
                <w:szCs w:val="21"/>
              </w:rPr>
            </w:pPr>
          </w:p>
        </w:tc>
        <w:tc>
          <w:tcPr>
            <w:tcW w:w="438" w:type="pct"/>
            <w:vMerge w:val="restart"/>
            <w:tcBorders>
              <w:top w:val="single" w:color="auto" w:sz="4" w:space="0"/>
              <w:left w:val="nil"/>
              <w:right w:val="single" w:color="auto" w:sz="4" w:space="0"/>
            </w:tcBorders>
            <w:shd w:val="clear" w:color="auto" w:fill="auto"/>
            <w:vAlign w:val="center"/>
          </w:tcPr>
          <w:p w14:paraId="211B40DF">
            <w:pPr>
              <w:widowControl/>
              <w:jc w:val="center"/>
              <w:rPr>
                <w:rFonts w:ascii="Times New Roman" w:hAnsi="Times New Roman" w:eastAsia="宋体" w:cs="Times New Roman"/>
                <w:kern w:val="0"/>
                <w:sz w:val="21"/>
                <w:szCs w:val="21"/>
              </w:rPr>
            </w:pPr>
          </w:p>
        </w:tc>
        <w:tc>
          <w:tcPr>
            <w:tcW w:w="1589" w:type="pct"/>
            <w:vMerge w:val="restart"/>
            <w:tcBorders>
              <w:top w:val="single" w:color="auto" w:sz="4" w:space="0"/>
              <w:left w:val="nil"/>
              <w:right w:val="single" w:color="auto" w:sz="4" w:space="0"/>
            </w:tcBorders>
            <w:shd w:val="clear" w:color="auto" w:fill="auto"/>
            <w:vAlign w:val="center"/>
          </w:tcPr>
          <w:p w14:paraId="5A83CB76">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提供原材料管理、生产管理、质量管理、库房管理、物流管理、销售管理的制度目录，盖章企业公章。</w:t>
            </w:r>
          </w:p>
        </w:tc>
      </w:tr>
      <w:tr w14:paraId="3661791B">
        <w:tblPrEx>
          <w:tblCellMar>
            <w:top w:w="0" w:type="dxa"/>
            <w:left w:w="108" w:type="dxa"/>
            <w:bottom w:w="0" w:type="dxa"/>
            <w:right w:w="108" w:type="dxa"/>
          </w:tblCellMar>
        </w:tblPrEx>
        <w:trPr>
          <w:trHeight w:val="379"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54779202">
            <w:pPr>
              <w:widowControl/>
              <w:jc w:val="center"/>
              <w:rPr>
                <w:sz w:val="20"/>
                <w:szCs w:val="22"/>
              </w:rPr>
            </w:pPr>
          </w:p>
        </w:tc>
        <w:tc>
          <w:tcPr>
            <w:tcW w:w="542" w:type="pct"/>
            <w:vMerge w:val="continue"/>
            <w:tcBorders>
              <w:left w:val="nil"/>
              <w:right w:val="single" w:color="auto" w:sz="4" w:space="0"/>
            </w:tcBorders>
            <w:shd w:val="clear" w:color="auto" w:fill="auto"/>
            <w:vAlign w:val="center"/>
          </w:tcPr>
          <w:p w14:paraId="0A292721">
            <w:pPr>
              <w:widowControl/>
              <w:jc w:val="center"/>
              <w:rPr>
                <w:sz w:val="20"/>
                <w:szCs w:val="22"/>
              </w:rPr>
            </w:pPr>
          </w:p>
        </w:tc>
        <w:tc>
          <w:tcPr>
            <w:tcW w:w="1329" w:type="pct"/>
            <w:tcBorders>
              <w:top w:val="nil"/>
              <w:left w:val="nil"/>
              <w:bottom w:val="single" w:color="auto" w:sz="4" w:space="0"/>
              <w:right w:val="single" w:color="auto" w:sz="4" w:space="0"/>
            </w:tcBorders>
            <w:shd w:val="clear" w:color="auto" w:fill="auto"/>
            <w:vAlign w:val="center"/>
          </w:tcPr>
          <w:p w14:paraId="67CECCA4">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具备质量检验管理制度</w:t>
            </w:r>
          </w:p>
        </w:tc>
        <w:tc>
          <w:tcPr>
            <w:tcW w:w="290" w:type="pct"/>
            <w:tcBorders>
              <w:top w:val="nil"/>
              <w:left w:val="nil"/>
              <w:bottom w:val="single" w:color="auto" w:sz="4" w:space="0"/>
              <w:right w:val="single" w:color="auto" w:sz="4" w:space="0"/>
            </w:tcBorders>
            <w:shd w:val="clear" w:color="auto" w:fill="auto"/>
            <w:vAlign w:val="center"/>
          </w:tcPr>
          <w:p w14:paraId="038D9D80">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FFCE2">
            <w:pPr>
              <w:widowControl/>
              <w:jc w:val="center"/>
              <w:rPr>
                <w:rFonts w:ascii="Times New Roman" w:hAnsi="Times New Roman" w:eastAsia="宋体" w:cs="Times New Roman"/>
                <w:kern w:val="0"/>
                <w:sz w:val="21"/>
                <w:szCs w:val="21"/>
              </w:rPr>
            </w:pPr>
          </w:p>
        </w:tc>
        <w:tc>
          <w:tcPr>
            <w:tcW w:w="438" w:type="pct"/>
            <w:vMerge w:val="continue"/>
            <w:tcBorders>
              <w:left w:val="nil"/>
              <w:right w:val="single" w:color="auto" w:sz="4" w:space="0"/>
            </w:tcBorders>
            <w:shd w:val="clear" w:color="auto" w:fill="auto"/>
            <w:vAlign w:val="center"/>
          </w:tcPr>
          <w:p w14:paraId="2133CB60">
            <w:pPr>
              <w:widowControl/>
              <w:jc w:val="center"/>
              <w:rPr>
                <w:rFonts w:ascii="Times New Roman" w:hAnsi="Times New Roman" w:eastAsia="宋体" w:cs="Times New Roman"/>
                <w:kern w:val="0"/>
                <w:sz w:val="21"/>
                <w:szCs w:val="21"/>
              </w:rPr>
            </w:pPr>
          </w:p>
        </w:tc>
        <w:tc>
          <w:tcPr>
            <w:tcW w:w="1589" w:type="pct"/>
            <w:vMerge w:val="continue"/>
            <w:tcBorders>
              <w:left w:val="nil"/>
              <w:right w:val="single" w:color="auto" w:sz="4" w:space="0"/>
            </w:tcBorders>
            <w:shd w:val="clear" w:color="auto" w:fill="auto"/>
            <w:vAlign w:val="center"/>
          </w:tcPr>
          <w:p w14:paraId="00B95F33">
            <w:pPr>
              <w:widowControl/>
              <w:jc w:val="center"/>
              <w:rPr>
                <w:rFonts w:ascii="Times New Roman" w:hAnsi="Times New Roman" w:eastAsia="宋体" w:cs="Times New Roman"/>
                <w:kern w:val="0"/>
                <w:sz w:val="21"/>
                <w:szCs w:val="21"/>
              </w:rPr>
            </w:pPr>
          </w:p>
        </w:tc>
      </w:tr>
      <w:tr w14:paraId="147A134C">
        <w:trPr>
          <w:trHeight w:val="379"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546FE2D0">
            <w:pPr>
              <w:widowControl/>
              <w:jc w:val="center"/>
              <w:rPr>
                <w:rFonts w:ascii="Times New Roman" w:hAnsi="Times New Roman" w:eastAsia="宋体" w:cs="Times New Roman"/>
                <w:kern w:val="0"/>
                <w:sz w:val="21"/>
                <w:szCs w:val="21"/>
              </w:rPr>
            </w:pPr>
          </w:p>
        </w:tc>
        <w:tc>
          <w:tcPr>
            <w:tcW w:w="542" w:type="pct"/>
            <w:vMerge w:val="continue"/>
            <w:tcBorders>
              <w:left w:val="nil"/>
              <w:right w:val="single" w:color="auto" w:sz="4" w:space="0"/>
            </w:tcBorders>
            <w:shd w:val="clear" w:color="auto" w:fill="auto"/>
            <w:vAlign w:val="center"/>
          </w:tcPr>
          <w:p w14:paraId="635D35E1">
            <w:pPr>
              <w:widowControl/>
              <w:jc w:val="center"/>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09E8DD4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具备储存、养护管理制度</w:t>
            </w:r>
          </w:p>
        </w:tc>
        <w:tc>
          <w:tcPr>
            <w:tcW w:w="290" w:type="pct"/>
            <w:tcBorders>
              <w:top w:val="nil"/>
              <w:left w:val="nil"/>
              <w:bottom w:val="single" w:color="auto" w:sz="4" w:space="0"/>
              <w:right w:val="single" w:color="auto" w:sz="4" w:space="0"/>
            </w:tcBorders>
            <w:shd w:val="clear" w:color="auto" w:fill="auto"/>
            <w:vAlign w:val="center"/>
          </w:tcPr>
          <w:p w14:paraId="457E56F2">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A4D72">
            <w:pPr>
              <w:widowControl/>
              <w:jc w:val="center"/>
              <w:rPr>
                <w:rFonts w:ascii="Times New Roman" w:hAnsi="Times New Roman" w:eastAsia="宋体" w:cs="Times New Roman"/>
                <w:kern w:val="0"/>
                <w:sz w:val="21"/>
                <w:szCs w:val="21"/>
              </w:rPr>
            </w:pPr>
          </w:p>
        </w:tc>
        <w:tc>
          <w:tcPr>
            <w:tcW w:w="438" w:type="pct"/>
            <w:vMerge w:val="continue"/>
            <w:tcBorders>
              <w:left w:val="nil"/>
              <w:right w:val="single" w:color="auto" w:sz="4" w:space="0"/>
            </w:tcBorders>
            <w:shd w:val="clear" w:color="auto" w:fill="auto"/>
            <w:vAlign w:val="center"/>
          </w:tcPr>
          <w:p w14:paraId="38158F59">
            <w:pPr>
              <w:widowControl/>
              <w:jc w:val="center"/>
              <w:rPr>
                <w:rFonts w:ascii="Times New Roman" w:hAnsi="Times New Roman" w:eastAsia="宋体" w:cs="Times New Roman"/>
                <w:kern w:val="0"/>
                <w:sz w:val="21"/>
                <w:szCs w:val="21"/>
              </w:rPr>
            </w:pPr>
          </w:p>
        </w:tc>
        <w:tc>
          <w:tcPr>
            <w:tcW w:w="1589" w:type="pct"/>
            <w:vMerge w:val="continue"/>
            <w:tcBorders>
              <w:left w:val="nil"/>
              <w:right w:val="single" w:color="auto" w:sz="4" w:space="0"/>
            </w:tcBorders>
            <w:shd w:val="clear" w:color="auto" w:fill="auto"/>
            <w:vAlign w:val="center"/>
          </w:tcPr>
          <w:p w14:paraId="6C879500">
            <w:pPr>
              <w:widowControl/>
              <w:jc w:val="center"/>
              <w:rPr>
                <w:rFonts w:ascii="Times New Roman" w:hAnsi="Times New Roman" w:eastAsia="宋体" w:cs="Times New Roman"/>
                <w:kern w:val="0"/>
                <w:sz w:val="21"/>
                <w:szCs w:val="21"/>
              </w:rPr>
            </w:pPr>
          </w:p>
        </w:tc>
      </w:tr>
      <w:tr w14:paraId="47D1FEE4">
        <w:tblPrEx>
          <w:tblCellMar>
            <w:top w:w="0" w:type="dxa"/>
            <w:left w:w="108" w:type="dxa"/>
            <w:bottom w:w="0" w:type="dxa"/>
            <w:right w:w="108" w:type="dxa"/>
          </w:tblCellMar>
        </w:tblPrEx>
        <w:trPr>
          <w:trHeight w:val="379" w:hRule="atLeast"/>
          <w:jc w:val="center"/>
        </w:trPr>
        <w:tc>
          <w:tcPr>
            <w:tcW w:w="569" w:type="pct"/>
            <w:vMerge w:val="continue"/>
            <w:tcBorders>
              <w:left w:val="single" w:color="auto" w:sz="4" w:space="0"/>
              <w:bottom w:val="single" w:color="auto" w:sz="4" w:space="0"/>
              <w:right w:val="single" w:color="auto" w:sz="4" w:space="0"/>
            </w:tcBorders>
            <w:vAlign w:val="center"/>
          </w:tcPr>
          <w:p w14:paraId="2A42F7A5">
            <w:pPr>
              <w:widowControl/>
              <w:jc w:val="center"/>
              <w:rPr>
                <w:rFonts w:ascii="Times New Roman" w:hAnsi="Times New Roman" w:eastAsia="宋体" w:cs="Times New Roman"/>
                <w:kern w:val="0"/>
                <w:sz w:val="21"/>
                <w:szCs w:val="21"/>
              </w:rPr>
            </w:pPr>
          </w:p>
        </w:tc>
        <w:tc>
          <w:tcPr>
            <w:tcW w:w="542" w:type="pct"/>
            <w:vMerge w:val="continue"/>
            <w:tcBorders>
              <w:left w:val="nil"/>
              <w:bottom w:val="single" w:color="auto" w:sz="4" w:space="0"/>
              <w:right w:val="single" w:color="auto" w:sz="4" w:space="0"/>
            </w:tcBorders>
            <w:shd w:val="clear" w:color="auto" w:fill="auto"/>
            <w:vAlign w:val="center"/>
          </w:tcPr>
          <w:p w14:paraId="66232EC9">
            <w:pPr>
              <w:widowControl/>
              <w:jc w:val="center"/>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6EC6B78C">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具备出库、配送等环节管理制度</w:t>
            </w:r>
          </w:p>
        </w:tc>
        <w:tc>
          <w:tcPr>
            <w:tcW w:w="290" w:type="pct"/>
            <w:tcBorders>
              <w:top w:val="nil"/>
              <w:left w:val="nil"/>
              <w:bottom w:val="single" w:color="auto" w:sz="4" w:space="0"/>
              <w:right w:val="single" w:color="auto" w:sz="4" w:space="0"/>
            </w:tcBorders>
            <w:shd w:val="clear" w:color="auto" w:fill="auto"/>
            <w:vAlign w:val="center"/>
          </w:tcPr>
          <w:p w14:paraId="587C7097">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83F13">
            <w:pPr>
              <w:widowControl/>
              <w:jc w:val="center"/>
              <w:rPr>
                <w:rFonts w:ascii="Times New Roman" w:hAnsi="Times New Roman" w:eastAsia="宋体" w:cs="Times New Roman"/>
                <w:kern w:val="0"/>
                <w:sz w:val="21"/>
                <w:szCs w:val="21"/>
              </w:rPr>
            </w:pPr>
          </w:p>
        </w:tc>
        <w:tc>
          <w:tcPr>
            <w:tcW w:w="438" w:type="pct"/>
            <w:vMerge w:val="continue"/>
            <w:tcBorders>
              <w:left w:val="nil"/>
              <w:bottom w:val="single" w:color="auto" w:sz="4" w:space="0"/>
              <w:right w:val="single" w:color="auto" w:sz="4" w:space="0"/>
            </w:tcBorders>
            <w:shd w:val="clear" w:color="auto" w:fill="auto"/>
            <w:vAlign w:val="center"/>
          </w:tcPr>
          <w:p w14:paraId="20FDB3D7">
            <w:pPr>
              <w:widowControl/>
              <w:jc w:val="center"/>
              <w:rPr>
                <w:rFonts w:ascii="Times New Roman" w:hAnsi="Times New Roman" w:eastAsia="宋体" w:cs="Times New Roman"/>
                <w:kern w:val="0"/>
                <w:sz w:val="21"/>
                <w:szCs w:val="21"/>
              </w:rPr>
            </w:pPr>
          </w:p>
        </w:tc>
        <w:tc>
          <w:tcPr>
            <w:tcW w:w="1589" w:type="pct"/>
            <w:vMerge w:val="continue"/>
            <w:tcBorders>
              <w:left w:val="nil"/>
              <w:bottom w:val="single" w:color="auto" w:sz="4" w:space="0"/>
              <w:right w:val="single" w:color="auto" w:sz="4" w:space="0"/>
            </w:tcBorders>
            <w:shd w:val="clear" w:color="auto" w:fill="auto"/>
            <w:vAlign w:val="center"/>
          </w:tcPr>
          <w:p w14:paraId="10572DA1">
            <w:pPr>
              <w:widowControl/>
              <w:jc w:val="center"/>
              <w:rPr>
                <w:rFonts w:ascii="Times New Roman" w:hAnsi="Times New Roman" w:eastAsia="宋体" w:cs="Times New Roman"/>
                <w:kern w:val="0"/>
                <w:sz w:val="21"/>
                <w:szCs w:val="21"/>
              </w:rPr>
            </w:pPr>
          </w:p>
        </w:tc>
      </w:tr>
      <w:tr w14:paraId="5D9A88CA">
        <w:tblPrEx>
          <w:tblCellMar>
            <w:top w:w="0" w:type="dxa"/>
            <w:left w:w="108" w:type="dxa"/>
            <w:bottom w:w="0" w:type="dxa"/>
            <w:right w:w="108" w:type="dxa"/>
          </w:tblCellMar>
        </w:tblPrEx>
        <w:trPr>
          <w:trHeight w:val="846"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5E2C583A">
            <w:pPr>
              <w:widowControl/>
              <w:jc w:val="left"/>
              <w:rPr>
                <w:rFonts w:ascii="Times New Roman" w:hAnsi="Times New Roman" w:eastAsia="宋体" w:cs="Times New Roman"/>
                <w:b/>
                <w:bCs/>
                <w:kern w:val="0"/>
                <w:sz w:val="22"/>
                <w:szCs w:val="22"/>
              </w:rPr>
            </w:pPr>
          </w:p>
        </w:tc>
        <w:tc>
          <w:tcPr>
            <w:tcW w:w="542" w:type="pct"/>
            <w:tcBorders>
              <w:top w:val="nil"/>
              <w:left w:val="nil"/>
              <w:bottom w:val="single" w:color="auto" w:sz="4" w:space="0"/>
              <w:right w:val="single" w:color="auto" w:sz="4" w:space="0"/>
            </w:tcBorders>
            <w:shd w:val="clear" w:color="auto" w:fill="auto"/>
            <w:vAlign w:val="center"/>
          </w:tcPr>
          <w:p w14:paraId="66419C62">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3.3 </w:t>
            </w:r>
            <w:r>
              <w:rPr>
                <w:rFonts w:hint="eastAsia" w:ascii="Times New Roman" w:hAnsi="Times New Roman" w:eastAsia="宋体" w:cs="Times New Roman"/>
                <w:kern w:val="0"/>
                <w:sz w:val="21"/>
                <w:szCs w:val="21"/>
              </w:rPr>
              <w:t>生产质量规范（</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7E194A58">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具备原材料（含中药材、辅料及包装材料）全流程质量控制、生产工艺规范、生产质量控制流程规范。</w:t>
            </w:r>
          </w:p>
        </w:tc>
        <w:tc>
          <w:tcPr>
            <w:tcW w:w="290" w:type="pct"/>
            <w:tcBorders>
              <w:top w:val="nil"/>
              <w:left w:val="nil"/>
              <w:bottom w:val="single" w:color="auto" w:sz="4" w:space="0"/>
              <w:right w:val="single" w:color="auto" w:sz="4" w:space="0"/>
            </w:tcBorders>
            <w:shd w:val="clear" w:color="auto" w:fill="auto"/>
            <w:vAlign w:val="center"/>
          </w:tcPr>
          <w:p w14:paraId="2B45FDA4">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single" w:color="auto" w:sz="4" w:space="0"/>
              <w:left w:val="nil"/>
              <w:bottom w:val="single" w:color="auto" w:sz="4" w:space="0"/>
              <w:right w:val="single" w:color="auto" w:sz="4" w:space="0"/>
            </w:tcBorders>
            <w:shd w:val="clear" w:color="auto" w:fill="auto"/>
            <w:vAlign w:val="center"/>
          </w:tcPr>
          <w:p w14:paraId="3720572B">
            <w:pPr>
              <w:widowControl/>
              <w:jc w:val="center"/>
              <w:rPr>
                <w:rFonts w:ascii="Times New Roman" w:hAnsi="Times New Roman" w:eastAsia="宋体" w:cs="Times New Roman"/>
                <w:kern w:val="0"/>
                <w:sz w:val="21"/>
                <w:szCs w:val="21"/>
              </w:rPr>
            </w:pPr>
          </w:p>
        </w:tc>
        <w:tc>
          <w:tcPr>
            <w:tcW w:w="438" w:type="pct"/>
            <w:tcBorders>
              <w:top w:val="nil"/>
              <w:left w:val="nil"/>
              <w:bottom w:val="single" w:color="auto" w:sz="4" w:space="0"/>
              <w:right w:val="single" w:color="auto" w:sz="4" w:space="0"/>
            </w:tcBorders>
            <w:shd w:val="clear" w:color="auto" w:fill="auto"/>
            <w:vAlign w:val="center"/>
          </w:tcPr>
          <w:p w14:paraId="44B2FD73">
            <w:pPr>
              <w:widowControl/>
              <w:jc w:val="center"/>
              <w:rPr>
                <w:rFonts w:ascii="Times New Roman" w:hAnsi="Times New Roman" w:eastAsia="宋体" w:cs="Times New Roman"/>
                <w:kern w:val="0"/>
                <w:sz w:val="21"/>
                <w:szCs w:val="21"/>
              </w:rPr>
            </w:pPr>
          </w:p>
        </w:tc>
        <w:tc>
          <w:tcPr>
            <w:tcW w:w="1589" w:type="pct"/>
            <w:tcBorders>
              <w:top w:val="nil"/>
              <w:left w:val="nil"/>
              <w:bottom w:val="single" w:color="auto" w:sz="4" w:space="0"/>
              <w:right w:val="single" w:color="auto" w:sz="4" w:space="0"/>
            </w:tcBorders>
            <w:shd w:val="clear" w:color="auto" w:fill="auto"/>
            <w:vAlign w:val="center"/>
          </w:tcPr>
          <w:p w14:paraId="6EBCD73F">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提供企业原料药、生产、质控三个环节的流程/规程，盖章企业公章。</w:t>
            </w:r>
          </w:p>
        </w:tc>
      </w:tr>
      <w:tr w14:paraId="51284C13">
        <w:tblPrEx>
          <w:tblCellMar>
            <w:top w:w="0" w:type="dxa"/>
            <w:left w:w="108" w:type="dxa"/>
            <w:bottom w:w="0" w:type="dxa"/>
            <w:right w:w="108" w:type="dxa"/>
          </w:tblCellMar>
        </w:tblPrEx>
        <w:trPr>
          <w:trHeight w:val="1231"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0C7EA5CC">
            <w:pPr>
              <w:widowControl/>
              <w:jc w:val="left"/>
              <w:rPr>
                <w:rFonts w:ascii="Times New Roman" w:hAnsi="Times New Roman" w:eastAsia="宋体" w:cs="Times New Roman"/>
                <w:b/>
                <w:bCs/>
                <w:kern w:val="0"/>
                <w:sz w:val="22"/>
                <w:szCs w:val="22"/>
              </w:rPr>
            </w:pPr>
          </w:p>
        </w:tc>
        <w:tc>
          <w:tcPr>
            <w:tcW w:w="542" w:type="pct"/>
            <w:vMerge w:val="restart"/>
            <w:tcBorders>
              <w:top w:val="nil"/>
              <w:left w:val="nil"/>
              <w:right w:val="single" w:color="auto" w:sz="4" w:space="0"/>
            </w:tcBorders>
            <w:shd w:val="clear" w:color="auto" w:fill="auto"/>
            <w:vAlign w:val="center"/>
          </w:tcPr>
          <w:p w14:paraId="71AB329C">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r>
              <w:rPr>
                <w:rFonts w:hint="eastAsia" w:ascii="Times New Roman" w:hAnsi="Times New Roman" w:eastAsia="宋体" w:cs="Times New Roman"/>
                <w:kern w:val="0"/>
                <w:sz w:val="21"/>
                <w:szCs w:val="21"/>
              </w:rPr>
              <w:t>药学技术人员配备、履职能力（</w:t>
            </w:r>
            <w:r>
              <w:rPr>
                <w:rFonts w:ascii="Times New Roman" w:hAnsi="Times New Roman" w:eastAsia="宋体" w:cs="Times New Roman"/>
                <w:kern w:val="0"/>
                <w:sz w:val="21"/>
                <w:szCs w:val="21"/>
              </w:rPr>
              <w:t>7</w:t>
            </w:r>
            <w:r>
              <w:rPr>
                <w:rFonts w:hint="eastAsia"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4FC19105">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具有2名以上执业中药师或依法经过资格认定的其他中药学技术人员，得</w:t>
            </w:r>
            <w:r>
              <w:rPr>
                <w:rFonts w:ascii="Times New Roman" w:hAnsi="Times New Roman" w:eastAsia="宋体" w:cs="Times New Roman"/>
                <w:kern w:val="0"/>
                <w:sz w:val="21"/>
                <w:szCs w:val="21"/>
              </w:rPr>
              <w:t>1</w:t>
            </w:r>
            <w:r>
              <w:rPr>
                <w:rFonts w:hint="eastAsia" w:ascii="Times New Roman" w:hAnsi="Times New Roman" w:eastAsia="宋体" w:cs="Times New Roman"/>
                <w:kern w:val="0"/>
                <w:sz w:val="21"/>
                <w:szCs w:val="21"/>
              </w:rPr>
              <w:t>分，每增加1人加</w:t>
            </w:r>
            <w:r>
              <w:rPr>
                <w:rFonts w:ascii="Times New Roman" w:hAnsi="Times New Roman" w:eastAsia="宋体" w:cs="Times New Roman"/>
                <w:kern w:val="0"/>
                <w:sz w:val="21"/>
                <w:szCs w:val="21"/>
              </w:rPr>
              <w:t>1</w:t>
            </w:r>
            <w:r>
              <w:rPr>
                <w:rFonts w:hint="eastAsia" w:ascii="Times New Roman" w:hAnsi="Times New Roman" w:eastAsia="宋体" w:cs="Times New Roman"/>
                <w:kern w:val="0"/>
                <w:sz w:val="21"/>
                <w:szCs w:val="21"/>
              </w:rPr>
              <w:t>分，最多不超过</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290" w:type="pct"/>
            <w:tcBorders>
              <w:top w:val="nil"/>
              <w:left w:val="nil"/>
              <w:bottom w:val="single" w:color="auto" w:sz="4" w:space="0"/>
              <w:right w:val="single" w:color="auto" w:sz="4" w:space="0"/>
            </w:tcBorders>
            <w:shd w:val="clear" w:color="auto" w:fill="auto"/>
            <w:vAlign w:val="center"/>
          </w:tcPr>
          <w:p w14:paraId="4FE53A84">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39" w:type="pct"/>
            <w:tcBorders>
              <w:top w:val="nil"/>
              <w:left w:val="nil"/>
              <w:bottom w:val="single" w:color="auto" w:sz="4" w:space="0"/>
              <w:right w:val="single" w:color="auto" w:sz="4" w:space="0"/>
            </w:tcBorders>
            <w:shd w:val="clear" w:color="auto" w:fill="auto"/>
            <w:vAlign w:val="center"/>
          </w:tcPr>
          <w:p w14:paraId="2802C1A8">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nil"/>
              <w:left w:val="nil"/>
              <w:bottom w:val="single" w:color="auto" w:sz="4" w:space="0"/>
              <w:right w:val="single" w:color="auto" w:sz="4" w:space="0"/>
            </w:tcBorders>
            <w:shd w:val="clear" w:color="auto" w:fill="auto"/>
            <w:vAlign w:val="center"/>
          </w:tcPr>
          <w:p w14:paraId="38121F94">
            <w:pPr>
              <w:widowControl/>
              <w:jc w:val="center"/>
              <w:rPr>
                <w:rFonts w:hint="eastAsia" w:ascii="Times New Roman" w:hAnsi="Times New Roman" w:eastAsia="宋体" w:cs="Times New Roman"/>
                <w:kern w:val="0"/>
                <w:sz w:val="21"/>
                <w:szCs w:val="21"/>
              </w:rPr>
            </w:pPr>
          </w:p>
        </w:tc>
        <w:tc>
          <w:tcPr>
            <w:tcW w:w="1589" w:type="pct"/>
            <w:tcBorders>
              <w:top w:val="nil"/>
              <w:left w:val="nil"/>
              <w:bottom w:val="single" w:color="auto" w:sz="4" w:space="0"/>
              <w:right w:val="single" w:color="auto" w:sz="4" w:space="0"/>
            </w:tcBorders>
            <w:shd w:val="clear" w:color="auto" w:fill="auto"/>
            <w:vAlign w:val="center"/>
          </w:tcPr>
          <w:p w14:paraId="0CCC0C7F">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1、以药监局颁发的在有效期内的执业药师注册证、参保证明作为依据。</w:t>
            </w:r>
          </w:p>
          <w:p w14:paraId="0B081C09">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2、提供生产负责人、质量负责人的档案（学历证明、资质证书等）。</w:t>
            </w:r>
          </w:p>
        </w:tc>
      </w:tr>
      <w:tr w14:paraId="0EA4ACA5">
        <w:tblPrEx>
          <w:tblCellMar>
            <w:top w:w="0" w:type="dxa"/>
            <w:left w:w="108" w:type="dxa"/>
            <w:bottom w:w="0" w:type="dxa"/>
            <w:right w:w="108" w:type="dxa"/>
          </w:tblCellMar>
        </w:tblPrEx>
        <w:trPr>
          <w:trHeight w:val="996"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11FB67B2">
            <w:pPr>
              <w:widowControl/>
              <w:jc w:val="left"/>
              <w:rPr>
                <w:rFonts w:ascii="Times New Roman" w:hAnsi="Times New Roman" w:eastAsia="宋体" w:cs="Times New Roman"/>
                <w:b/>
                <w:bCs/>
                <w:kern w:val="0"/>
                <w:sz w:val="22"/>
                <w:szCs w:val="22"/>
              </w:rPr>
            </w:pPr>
          </w:p>
        </w:tc>
        <w:tc>
          <w:tcPr>
            <w:tcW w:w="542" w:type="pct"/>
            <w:vMerge w:val="continue"/>
            <w:tcBorders>
              <w:left w:val="nil"/>
              <w:right w:val="single" w:color="auto" w:sz="4" w:space="0"/>
            </w:tcBorders>
            <w:shd w:val="clear" w:color="auto" w:fill="auto"/>
            <w:vAlign w:val="center"/>
          </w:tcPr>
          <w:p w14:paraId="74C5D5A0">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64A163A4">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质量管理负责人具有大学以上学历，且必须是执业中药师，有3年以上药品经营质量管理工作经验。</w:t>
            </w:r>
          </w:p>
        </w:tc>
        <w:tc>
          <w:tcPr>
            <w:tcW w:w="290" w:type="pct"/>
            <w:tcBorders>
              <w:top w:val="nil"/>
              <w:left w:val="nil"/>
              <w:bottom w:val="single" w:color="auto" w:sz="4" w:space="0"/>
              <w:right w:val="single" w:color="auto" w:sz="4" w:space="0"/>
            </w:tcBorders>
            <w:shd w:val="clear" w:color="auto" w:fill="auto"/>
            <w:vAlign w:val="center"/>
          </w:tcPr>
          <w:p w14:paraId="1E7888FC">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39" w:type="pct"/>
            <w:tcBorders>
              <w:top w:val="nil"/>
              <w:left w:val="nil"/>
              <w:bottom w:val="single" w:color="auto" w:sz="4" w:space="0"/>
              <w:right w:val="single" w:color="auto" w:sz="4" w:space="0"/>
            </w:tcBorders>
            <w:shd w:val="clear" w:color="auto" w:fill="auto"/>
            <w:vAlign w:val="center"/>
          </w:tcPr>
          <w:p w14:paraId="112BEF6F">
            <w:pPr>
              <w:widowControl/>
              <w:jc w:val="center"/>
              <w:rPr>
                <w:rFonts w:ascii="Times New Roman" w:hAnsi="Times New Roman" w:eastAsia="宋体" w:cs="Times New Roman"/>
                <w:kern w:val="0"/>
                <w:sz w:val="21"/>
                <w:szCs w:val="21"/>
              </w:rPr>
            </w:pPr>
          </w:p>
        </w:tc>
        <w:tc>
          <w:tcPr>
            <w:tcW w:w="438" w:type="pct"/>
            <w:tcBorders>
              <w:top w:val="nil"/>
              <w:left w:val="nil"/>
              <w:bottom w:val="single" w:color="auto" w:sz="4" w:space="0"/>
              <w:right w:val="single" w:color="auto" w:sz="4" w:space="0"/>
            </w:tcBorders>
            <w:shd w:val="clear" w:color="auto" w:fill="auto"/>
            <w:vAlign w:val="center"/>
          </w:tcPr>
          <w:p w14:paraId="29558B9E">
            <w:pPr>
              <w:widowControl/>
              <w:jc w:val="center"/>
              <w:rPr>
                <w:rFonts w:ascii="Times New Roman" w:hAnsi="Times New Roman" w:eastAsia="宋体" w:cs="Times New Roman"/>
                <w:kern w:val="0"/>
                <w:sz w:val="21"/>
                <w:szCs w:val="21"/>
              </w:rPr>
            </w:pPr>
          </w:p>
        </w:tc>
        <w:tc>
          <w:tcPr>
            <w:tcW w:w="1589" w:type="pct"/>
            <w:tcBorders>
              <w:top w:val="nil"/>
              <w:left w:val="nil"/>
              <w:bottom w:val="single" w:color="auto" w:sz="4" w:space="0"/>
              <w:right w:val="single" w:color="auto" w:sz="4" w:space="0"/>
            </w:tcBorders>
            <w:shd w:val="clear" w:color="auto" w:fill="auto"/>
            <w:vAlign w:val="center"/>
          </w:tcPr>
          <w:p w14:paraId="5D8D3E87">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提供相关人员资质证明。</w:t>
            </w:r>
          </w:p>
        </w:tc>
      </w:tr>
      <w:tr w14:paraId="7D0C06FF">
        <w:tblPrEx>
          <w:tblCellMar>
            <w:top w:w="0" w:type="dxa"/>
            <w:left w:w="108" w:type="dxa"/>
            <w:bottom w:w="0" w:type="dxa"/>
            <w:right w:w="108" w:type="dxa"/>
          </w:tblCellMar>
        </w:tblPrEx>
        <w:trPr>
          <w:trHeight w:val="480"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5E7FE31F">
            <w:pPr>
              <w:widowControl/>
              <w:jc w:val="left"/>
              <w:rPr>
                <w:rFonts w:ascii="Times New Roman" w:hAnsi="Times New Roman" w:eastAsia="宋体" w:cs="Times New Roman"/>
                <w:b/>
                <w:bCs/>
                <w:kern w:val="0"/>
                <w:sz w:val="22"/>
                <w:szCs w:val="22"/>
              </w:rPr>
            </w:pPr>
          </w:p>
        </w:tc>
        <w:tc>
          <w:tcPr>
            <w:tcW w:w="542" w:type="pct"/>
            <w:vMerge w:val="continue"/>
            <w:tcBorders>
              <w:left w:val="nil"/>
              <w:bottom w:val="single" w:color="auto" w:sz="4" w:space="0"/>
              <w:right w:val="single" w:color="auto" w:sz="4" w:space="0"/>
            </w:tcBorders>
            <w:shd w:val="clear" w:color="auto" w:fill="auto"/>
            <w:vAlign w:val="center"/>
          </w:tcPr>
          <w:p w14:paraId="6B390A67">
            <w:pPr>
              <w:widowControl/>
              <w:jc w:val="left"/>
              <w:rPr>
                <w:rFonts w:ascii="Times New Roman" w:hAnsi="Times New Roman" w:eastAsia="宋体" w:cs="Times New Roman"/>
                <w:kern w:val="0"/>
                <w:sz w:val="21"/>
                <w:szCs w:val="21"/>
              </w:rPr>
            </w:pPr>
          </w:p>
        </w:tc>
        <w:tc>
          <w:tcPr>
            <w:tcW w:w="1329" w:type="pct"/>
            <w:tcBorders>
              <w:top w:val="nil"/>
              <w:left w:val="nil"/>
              <w:bottom w:val="single" w:color="auto" w:sz="4" w:space="0"/>
              <w:right w:val="single" w:color="auto" w:sz="4" w:space="0"/>
            </w:tcBorders>
            <w:shd w:val="clear" w:color="auto" w:fill="auto"/>
            <w:vAlign w:val="center"/>
          </w:tcPr>
          <w:p w14:paraId="06511213">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生产负责人具有大学以上学历，且必须是执业中药师，有3年以上药品经营质量管理工作经验。</w:t>
            </w:r>
          </w:p>
        </w:tc>
        <w:tc>
          <w:tcPr>
            <w:tcW w:w="290" w:type="pct"/>
            <w:tcBorders>
              <w:top w:val="nil"/>
              <w:left w:val="nil"/>
              <w:bottom w:val="single" w:color="auto" w:sz="4" w:space="0"/>
              <w:right w:val="single" w:color="auto" w:sz="4" w:space="0"/>
            </w:tcBorders>
            <w:shd w:val="clear" w:color="auto" w:fill="auto"/>
            <w:vAlign w:val="center"/>
          </w:tcPr>
          <w:p w14:paraId="6F2F11BB">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39" w:type="pct"/>
            <w:tcBorders>
              <w:top w:val="nil"/>
              <w:left w:val="nil"/>
              <w:bottom w:val="single" w:color="auto" w:sz="4" w:space="0"/>
              <w:right w:val="single" w:color="auto" w:sz="4" w:space="0"/>
            </w:tcBorders>
            <w:shd w:val="clear" w:color="auto" w:fill="auto"/>
            <w:vAlign w:val="center"/>
          </w:tcPr>
          <w:p w14:paraId="7BC820ED">
            <w:pPr>
              <w:widowControl/>
              <w:jc w:val="center"/>
              <w:rPr>
                <w:rFonts w:ascii="Times New Roman" w:hAnsi="Times New Roman" w:eastAsia="宋体" w:cs="Times New Roman"/>
                <w:kern w:val="0"/>
                <w:sz w:val="21"/>
                <w:szCs w:val="21"/>
              </w:rPr>
            </w:pPr>
          </w:p>
        </w:tc>
        <w:tc>
          <w:tcPr>
            <w:tcW w:w="438" w:type="pct"/>
            <w:tcBorders>
              <w:top w:val="nil"/>
              <w:left w:val="nil"/>
              <w:bottom w:val="single" w:color="auto" w:sz="4" w:space="0"/>
              <w:right w:val="single" w:color="auto" w:sz="4" w:space="0"/>
            </w:tcBorders>
            <w:shd w:val="clear" w:color="auto" w:fill="auto"/>
            <w:vAlign w:val="center"/>
          </w:tcPr>
          <w:p w14:paraId="748CCA33">
            <w:pPr>
              <w:widowControl/>
              <w:jc w:val="center"/>
              <w:rPr>
                <w:rFonts w:ascii="Times New Roman" w:hAnsi="Times New Roman" w:eastAsia="宋体" w:cs="Times New Roman"/>
                <w:kern w:val="0"/>
                <w:sz w:val="21"/>
                <w:szCs w:val="21"/>
              </w:rPr>
            </w:pPr>
          </w:p>
        </w:tc>
        <w:tc>
          <w:tcPr>
            <w:tcW w:w="1589" w:type="pct"/>
            <w:tcBorders>
              <w:top w:val="nil"/>
              <w:left w:val="nil"/>
              <w:bottom w:val="single" w:color="auto" w:sz="4" w:space="0"/>
              <w:right w:val="single" w:color="auto" w:sz="4" w:space="0"/>
            </w:tcBorders>
            <w:shd w:val="clear" w:color="auto" w:fill="auto"/>
            <w:vAlign w:val="center"/>
          </w:tcPr>
          <w:p w14:paraId="47A416D0">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提供相关人员资质证明。</w:t>
            </w:r>
          </w:p>
        </w:tc>
      </w:tr>
      <w:tr w14:paraId="27362FFB">
        <w:tblPrEx>
          <w:tblCellMar>
            <w:top w:w="0" w:type="dxa"/>
            <w:left w:w="108" w:type="dxa"/>
            <w:bottom w:w="0" w:type="dxa"/>
            <w:right w:w="108" w:type="dxa"/>
          </w:tblCellMar>
        </w:tblPrEx>
        <w:trPr>
          <w:trHeight w:val="960"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517551E2">
            <w:pPr>
              <w:widowControl/>
              <w:jc w:val="left"/>
              <w:rPr>
                <w:rFonts w:ascii="Times New Roman" w:hAnsi="Times New Roman" w:eastAsia="宋体" w:cs="Times New Roman"/>
                <w:b/>
                <w:bCs/>
                <w:kern w:val="0"/>
                <w:sz w:val="22"/>
                <w:szCs w:val="22"/>
              </w:rPr>
            </w:pPr>
          </w:p>
        </w:tc>
        <w:tc>
          <w:tcPr>
            <w:tcW w:w="542" w:type="pct"/>
            <w:tcBorders>
              <w:top w:val="nil"/>
              <w:left w:val="nil"/>
              <w:bottom w:val="single" w:color="auto" w:sz="4" w:space="0"/>
              <w:right w:val="single" w:color="auto" w:sz="4" w:space="0"/>
            </w:tcBorders>
            <w:shd w:val="clear" w:color="auto" w:fill="auto"/>
            <w:vAlign w:val="center"/>
          </w:tcPr>
          <w:p w14:paraId="1CD31EA6">
            <w:pPr>
              <w:widowControl/>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r>
              <w:rPr>
                <w:rFonts w:hint="eastAsia" w:ascii="Times New Roman" w:hAnsi="Times New Roman" w:eastAsia="宋体" w:cs="Times New Roman"/>
                <w:kern w:val="0"/>
                <w:sz w:val="21"/>
                <w:szCs w:val="21"/>
              </w:rPr>
              <w:t>应急保障能力（</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分）</w:t>
            </w:r>
          </w:p>
        </w:tc>
        <w:tc>
          <w:tcPr>
            <w:tcW w:w="1329" w:type="pct"/>
            <w:tcBorders>
              <w:top w:val="nil"/>
              <w:left w:val="nil"/>
              <w:bottom w:val="single" w:color="auto" w:sz="4" w:space="0"/>
              <w:right w:val="single" w:color="auto" w:sz="4" w:space="0"/>
            </w:tcBorders>
            <w:shd w:val="clear" w:color="auto" w:fill="auto"/>
            <w:vAlign w:val="center"/>
          </w:tcPr>
          <w:p w14:paraId="6A4B8E15">
            <w:pPr>
              <w:widowControl/>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具有完善可行的出库、运输、信息、药品安全、冷链等应急保障预案，得5分，每少一项则逐个扣分。</w:t>
            </w:r>
          </w:p>
        </w:tc>
        <w:tc>
          <w:tcPr>
            <w:tcW w:w="290" w:type="pct"/>
            <w:tcBorders>
              <w:top w:val="nil"/>
              <w:left w:val="nil"/>
              <w:bottom w:val="single" w:color="auto" w:sz="4" w:space="0"/>
              <w:right w:val="single" w:color="auto" w:sz="4" w:space="0"/>
            </w:tcBorders>
            <w:shd w:val="clear" w:color="auto" w:fill="auto"/>
            <w:vAlign w:val="center"/>
          </w:tcPr>
          <w:p w14:paraId="6F96BC47">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39" w:type="pct"/>
            <w:tcBorders>
              <w:top w:val="nil"/>
              <w:left w:val="nil"/>
              <w:bottom w:val="single" w:color="auto" w:sz="4" w:space="0"/>
              <w:right w:val="single" w:color="auto" w:sz="4" w:space="0"/>
            </w:tcBorders>
            <w:shd w:val="clear" w:color="auto" w:fill="auto"/>
            <w:vAlign w:val="center"/>
          </w:tcPr>
          <w:p w14:paraId="04C1EB47">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w:t>
            </w:r>
          </w:p>
        </w:tc>
        <w:tc>
          <w:tcPr>
            <w:tcW w:w="438" w:type="pct"/>
            <w:tcBorders>
              <w:top w:val="nil"/>
              <w:left w:val="nil"/>
              <w:bottom w:val="single" w:color="auto" w:sz="4" w:space="0"/>
              <w:right w:val="single" w:color="auto" w:sz="4" w:space="0"/>
            </w:tcBorders>
            <w:shd w:val="clear" w:color="auto" w:fill="auto"/>
            <w:vAlign w:val="center"/>
          </w:tcPr>
          <w:p w14:paraId="359D6A9A">
            <w:pPr>
              <w:widowControl/>
              <w:jc w:val="center"/>
              <w:rPr>
                <w:rFonts w:hint="eastAsia" w:ascii="Times New Roman" w:hAnsi="Times New Roman" w:eastAsia="宋体" w:cs="Times New Roman"/>
                <w:kern w:val="0"/>
                <w:sz w:val="21"/>
                <w:szCs w:val="21"/>
              </w:rPr>
            </w:pPr>
          </w:p>
        </w:tc>
        <w:tc>
          <w:tcPr>
            <w:tcW w:w="1589" w:type="pct"/>
            <w:tcBorders>
              <w:top w:val="nil"/>
              <w:left w:val="nil"/>
              <w:bottom w:val="single" w:color="auto" w:sz="4" w:space="0"/>
              <w:right w:val="single" w:color="auto" w:sz="4" w:space="0"/>
            </w:tcBorders>
            <w:shd w:val="clear" w:color="auto" w:fill="auto"/>
            <w:vAlign w:val="center"/>
          </w:tcPr>
          <w:p w14:paraId="1E6BC375">
            <w:pPr>
              <w:widowControl/>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提供相关应急预案，盖企业公章。</w:t>
            </w:r>
          </w:p>
        </w:tc>
      </w:tr>
      <w:tr w14:paraId="61853222">
        <w:tblPrEx>
          <w:tblCellMar>
            <w:top w:w="0" w:type="dxa"/>
            <w:left w:w="108" w:type="dxa"/>
            <w:bottom w:w="0" w:type="dxa"/>
            <w:right w:w="108" w:type="dxa"/>
          </w:tblCellMar>
        </w:tblPrEx>
        <w:trPr>
          <w:trHeight w:val="519" w:hRule="atLeast"/>
          <w:jc w:val="center"/>
        </w:trPr>
        <w:tc>
          <w:tcPr>
            <w:tcW w:w="2732" w:type="pct"/>
            <w:gridSpan w:val="4"/>
            <w:tcBorders>
              <w:top w:val="nil"/>
              <w:left w:val="single" w:color="auto" w:sz="4" w:space="0"/>
              <w:bottom w:val="single" w:color="auto" w:sz="4" w:space="0"/>
              <w:right w:val="single" w:color="000000" w:sz="4" w:space="0"/>
            </w:tcBorders>
            <w:shd w:val="clear" w:color="auto" w:fill="auto"/>
            <w:vAlign w:val="center"/>
          </w:tcPr>
          <w:p w14:paraId="64DB66CE">
            <w:pPr>
              <w:widowControl/>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0"/>
                <w:szCs w:val="20"/>
              </w:rPr>
              <w:t>合计得分</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5003D6A2">
            <w:pPr>
              <w:widowControl/>
              <w:jc w:val="left"/>
              <w:rPr>
                <w:rFonts w:ascii="Times New Roman" w:hAnsi="Times New Roman" w:eastAsia="宋体" w:cs="Times New Roman"/>
                <w:b/>
                <w:bCs/>
                <w:kern w:val="0"/>
                <w:sz w:val="24"/>
                <w:szCs w:val="24"/>
              </w:rPr>
            </w:pPr>
          </w:p>
        </w:tc>
        <w:tc>
          <w:tcPr>
            <w:tcW w:w="43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1A87C970">
            <w:pPr>
              <w:widowControl/>
              <w:jc w:val="left"/>
              <w:rPr>
                <w:rFonts w:ascii="Times New Roman" w:hAnsi="Times New Roman" w:eastAsia="宋体" w:cs="Times New Roman"/>
                <w:b/>
                <w:bCs/>
                <w:kern w:val="0"/>
                <w:sz w:val="24"/>
                <w:szCs w:val="24"/>
              </w:rPr>
            </w:pPr>
          </w:p>
        </w:tc>
        <w:tc>
          <w:tcPr>
            <w:tcW w:w="1589" w:type="pct"/>
            <w:tcBorders>
              <w:top w:val="single" w:color="auto" w:sz="4" w:space="0"/>
              <w:left w:val="nil"/>
              <w:bottom w:val="single" w:color="auto" w:sz="4" w:space="0"/>
              <w:right w:val="single" w:color="000000" w:sz="4" w:space="0"/>
            </w:tcBorders>
            <w:shd w:val="clear" w:color="auto" w:fill="auto"/>
            <w:noWrap/>
            <w:vAlign w:val="center"/>
          </w:tcPr>
          <w:p w14:paraId="52610307">
            <w:pPr>
              <w:widowControl/>
              <w:jc w:val="left"/>
              <w:rPr>
                <w:rFonts w:ascii="Times New Roman" w:hAnsi="Times New Roman" w:eastAsia="宋体" w:cs="Times New Roman"/>
                <w:b/>
                <w:bCs/>
                <w:kern w:val="0"/>
                <w:sz w:val="24"/>
                <w:szCs w:val="24"/>
              </w:rPr>
            </w:pPr>
          </w:p>
        </w:tc>
      </w:tr>
      <w:tr w14:paraId="5DCB4083">
        <w:tblPrEx>
          <w:tblCellMar>
            <w:top w:w="0" w:type="dxa"/>
            <w:left w:w="108" w:type="dxa"/>
            <w:bottom w:w="0" w:type="dxa"/>
            <w:right w:w="108" w:type="dxa"/>
          </w:tblCellMar>
        </w:tblPrEx>
        <w:trPr>
          <w:trHeight w:val="799" w:hRule="atLeast"/>
          <w:jc w:val="center"/>
        </w:trPr>
        <w:tc>
          <w:tcPr>
            <w:tcW w:w="5000" w:type="pct"/>
            <w:gridSpan w:val="7"/>
            <w:tcBorders>
              <w:top w:val="single" w:color="auto" w:sz="4" w:space="0"/>
              <w:left w:val="nil"/>
              <w:bottom w:val="nil"/>
              <w:right w:val="nil"/>
            </w:tcBorders>
            <w:shd w:val="clear" w:color="auto" w:fill="auto"/>
            <w:vAlign w:val="center"/>
          </w:tcPr>
          <w:p w14:paraId="79F681F3">
            <w:pPr>
              <w:widowControl/>
              <w:ind w:left="660" w:hanging="630" w:hangingChars="300"/>
              <w:jc w:val="left"/>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说明：1.申报企</w:t>
            </w:r>
            <w:r>
              <w:rPr>
                <w:rFonts w:hint="eastAsia" w:ascii="Times New Roman" w:hAnsi="Times New Roman" w:eastAsia="宋体" w:cs="Times New Roman"/>
                <w:kern w:val="0"/>
                <w:sz w:val="21"/>
                <w:szCs w:val="21"/>
                <w:lang w:eastAsia="zh-CN"/>
              </w:rPr>
              <w:t>业提</w:t>
            </w:r>
            <w:r>
              <w:rPr>
                <w:rFonts w:hint="eastAsia" w:ascii="Times New Roman" w:hAnsi="Times New Roman" w:eastAsia="宋体" w:cs="Times New Roman"/>
                <w:kern w:val="0"/>
                <w:sz w:val="21"/>
                <w:szCs w:val="21"/>
              </w:rPr>
              <w:t>供的证明材料复印件，每份应加盖企业公章。</w:t>
            </w:r>
            <w:r>
              <w:rPr>
                <w:rFonts w:ascii="Times New Roman" w:hAnsi="Times New Roman" w:eastAsia="宋体" w:cs="Times New Roman"/>
                <w:kern w:val="0"/>
                <w:sz w:val="21"/>
                <w:szCs w:val="21"/>
              </w:rPr>
              <w:br w:type="textWrapping"/>
            </w:r>
            <w:r>
              <w:rPr>
                <w:rFonts w:hint="eastAsia" w:ascii="Times New Roman" w:hAnsi="Times New Roman" w:eastAsia="宋体" w:cs="Times New Roman"/>
                <w:kern w:val="0"/>
                <w:sz w:val="21"/>
                <w:szCs w:val="21"/>
              </w:rPr>
              <w:t>2.本标准涉及的数据以申报企业本身数据为准。</w:t>
            </w:r>
          </w:p>
        </w:tc>
      </w:tr>
    </w:tbl>
    <w:p w14:paraId="0CCD3A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C2BB7"/>
    <w:rsid w:val="5C0C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21"/>
    <w:basedOn w:val="3"/>
    <w:qFormat/>
    <w:uiPriority w:val="0"/>
    <w:rPr>
      <w:rFonts w:ascii="宋体" w:hAnsi="宋体" w:eastAsia="宋体" w:cs="宋体"/>
      <w:color w:val="000000"/>
      <w:sz w:val="42"/>
      <w:szCs w:val="42"/>
      <w:u w:val="none"/>
    </w:rPr>
  </w:style>
  <w:style w:type="character" w:customStyle="1" w:styleId="5">
    <w:name w:val="font71"/>
    <w:basedOn w:val="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2025-01-09T00:21:00Z</dcterms:created>
  <dc:creator>静净镜</dc:creator>
  <cp:lastModifiedBy>静净镜</cp:lastModifiedBy>
  <dcterms:modified xsi:type="dcterms:W3CDTF">2025-01-09T00:22:02Z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5EEDFC295D2D4DA08B7957EAF3D55E9C_11</vt:lpwstr>
  </property>
  <property fmtid="{D5CDD505-2E9C-101B-9397-08002B2CF9AE}" pid="4" name="KSOTemplateDocerSaveRecord">
    <vt:lpwstr>eyJoZGlkIjoiY2IwNmMxZDMwOGRjNDg1YjAzNTlmYzA2MmE3OTI3ZTUiLCJ1c2VySWQiOiI2OTQ4NzE1NDgifQ==</vt:lpwstr>
  </property>
</Properties>
</file>